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301F9002" w:rsidR="006358BA" w:rsidRDefault="007105DF" w:rsidP="00D3489B">
      <w:pPr>
        <w:pStyle w:val="CRCoverPage"/>
        <w:tabs>
          <w:tab w:val="right" w:pos="9639"/>
        </w:tabs>
        <w:spacing w:after="0"/>
        <w:jc w:val="both"/>
        <w:rPr>
          <w:b/>
          <w:i/>
          <w:noProof/>
          <w:sz w:val="28"/>
          <w:lang w:eastAsia="zh-CN"/>
        </w:rPr>
      </w:pPr>
      <w:bookmarkStart w:id="0" w:name="_Ref399006623"/>
      <w:bookmarkStart w:id="1" w:name="_Toc92513360"/>
      <w:r>
        <w:rPr>
          <w:rFonts w:cs="Arial"/>
          <w:b/>
          <w:sz w:val="24"/>
          <w:szCs w:val="24"/>
        </w:rPr>
        <w:t xml:space="preserve">3GPP TSG-RAN WG4 Meeting </w:t>
      </w:r>
      <w:hyperlink r:id="rId9" w:history="1">
        <w:r w:rsidR="00CB7907">
          <w:rPr>
            <w:rFonts w:cs="Arial"/>
            <w:b/>
            <w:sz w:val="24"/>
            <w:szCs w:val="24"/>
            <w:lang w:eastAsia="zh-CN"/>
          </w:rPr>
          <w:t>9</w:t>
        </w:r>
        <w:r w:rsidR="00A750B9">
          <w:rPr>
            <w:rFonts w:cs="Arial"/>
            <w:b/>
            <w:sz w:val="24"/>
            <w:szCs w:val="24"/>
            <w:lang w:eastAsia="zh-CN"/>
          </w:rPr>
          <w:t>2</w:t>
        </w:r>
      </w:hyperlink>
      <w:r w:rsidR="006358BA">
        <w:rPr>
          <w:b/>
          <w:i/>
          <w:noProof/>
          <w:sz w:val="28"/>
        </w:rPr>
        <w:tab/>
      </w:r>
      <w:r w:rsidR="00267E9F" w:rsidRPr="00267E9F">
        <w:rPr>
          <w:rFonts w:cs="Arial"/>
          <w:b/>
          <w:sz w:val="24"/>
          <w:szCs w:val="24"/>
        </w:rPr>
        <w:t>R4-190</w:t>
      </w:r>
      <w:r w:rsidR="00360495">
        <w:rPr>
          <w:rFonts w:cs="Arial"/>
          <w:b/>
          <w:sz w:val="24"/>
          <w:szCs w:val="24"/>
        </w:rPr>
        <w:t>8840</w:t>
      </w:r>
    </w:p>
    <w:p w14:paraId="369D083E" w14:textId="4E242BF8" w:rsidR="00172067" w:rsidRDefault="00A750B9" w:rsidP="00D415E5">
      <w:pPr>
        <w:pStyle w:val="CRCoverPage"/>
        <w:spacing w:after="0"/>
        <w:outlineLvl w:val="0"/>
        <w:rPr>
          <w:b/>
          <w:bCs/>
          <w:noProof/>
          <w:sz w:val="22"/>
          <w:lang w:eastAsia="zh-CN"/>
        </w:rPr>
      </w:pPr>
      <w:r>
        <w:rPr>
          <w:b/>
          <w:bCs/>
          <w:noProof/>
          <w:sz w:val="22"/>
          <w:lang w:eastAsia="zh-CN"/>
        </w:rPr>
        <w:t>Ljubljana</w:t>
      </w:r>
      <w:r w:rsidR="00172067">
        <w:rPr>
          <w:b/>
          <w:bCs/>
          <w:noProof/>
          <w:sz w:val="22"/>
          <w:lang w:eastAsia="zh-CN"/>
        </w:rPr>
        <w:t xml:space="preserve">, </w:t>
      </w:r>
      <w:r>
        <w:rPr>
          <w:b/>
          <w:bCs/>
          <w:noProof/>
          <w:sz w:val="22"/>
          <w:lang w:eastAsia="zh-CN"/>
        </w:rPr>
        <w:t>Slovenia</w:t>
      </w:r>
      <w:r w:rsidR="00172067">
        <w:rPr>
          <w:b/>
          <w:bCs/>
          <w:noProof/>
          <w:sz w:val="22"/>
          <w:lang w:eastAsia="zh-CN"/>
        </w:rPr>
        <w:t xml:space="preserve">, </w:t>
      </w:r>
      <w:r>
        <w:rPr>
          <w:b/>
          <w:bCs/>
          <w:noProof/>
          <w:sz w:val="22"/>
          <w:lang w:eastAsia="zh-CN"/>
        </w:rPr>
        <w:t>26</w:t>
      </w:r>
      <w:r w:rsidR="00172067">
        <w:rPr>
          <w:b/>
          <w:bCs/>
          <w:noProof/>
          <w:sz w:val="22"/>
          <w:lang w:eastAsia="zh-CN"/>
        </w:rPr>
        <w:t xml:space="preserve">th – </w:t>
      </w:r>
      <w:r>
        <w:rPr>
          <w:b/>
          <w:bCs/>
          <w:noProof/>
          <w:sz w:val="22"/>
          <w:lang w:eastAsia="zh-CN"/>
        </w:rPr>
        <w:t>30</w:t>
      </w:r>
      <w:r w:rsidR="00172067">
        <w:rPr>
          <w:b/>
          <w:bCs/>
          <w:noProof/>
          <w:sz w:val="22"/>
          <w:lang w:eastAsia="zh-CN"/>
        </w:rPr>
        <w:t xml:space="preserve">th </w:t>
      </w:r>
      <w:r>
        <w:rPr>
          <w:b/>
          <w:bCs/>
          <w:noProof/>
          <w:sz w:val="22"/>
          <w:lang w:eastAsia="zh-CN"/>
        </w:rPr>
        <w:t xml:space="preserve">August </w:t>
      </w:r>
      <w:r w:rsidR="00172067">
        <w:rPr>
          <w:b/>
          <w:bCs/>
          <w:noProof/>
          <w:sz w:val="22"/>
          <w:lang w:eastAsia="zh-CN"/>
        </w:rPr>
        <w:t>2019</w:t>
      </w:r>
    </w:p>
    <w:p w14:paraId="31DCE6A5" w14:textId="77777777" w:rsidR="00D415E5" w:rsidRDefault="00D415E5" w:rsidP="00D415E5">
      <w:pPr>
        <w:pStyle w:val="CRCoverPage"/>
        <w:spacing w:after="0"/>
        <w:outlineLvl w:val="0"/>
        <w:rPr>
          <w:b/>
          <w:noProof/>
          <w:sz w:val="24"/>
        </w:rPr>
      </w:pPr>
    </w:p>
    <w:p w14:paraId="0A0D91D2" w14:textId="06B2CD24" w:rsidR="00675C27" w:rsidRPr="00CE783C" w:rsidRDefault="00675C27" w:rsidP="00D3489B">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7BEB3C24"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6202F7" w:rsidRPr="006202F7">
        <w:rPr>
          <w:rFonts w:cs="Arial"/>
          <w:sz w:val="22"/>
        </w:rPr>
        <w:t xml:space="preserve">Proposals on </w:t>
      </w:r>
      <w:r w:rsidR="006202F7">
        <w:rPr>
          <w:rFonts w:cs="Arial"/>
          <w:sz w:val="22"/>
        </w:rPr>
        <w:t>I</w:t>
      </w:r>
      <w:r w:rsidR="006202F7" w:rsidRPr="006202F7">
        <w:rPr>
          <w:rFonts w:cs="Arial"/>
          <w:sz w:val="22"/>
        </w:rPr>
        <w:t xml:space="preserve">ntra-band NR UL CA </w:t>
      </w:r>
      <w:r w:rsidR="006202F7">
        <w:rPr>
          <w:rFonts w:cs="Arial"/>
          <w:sz w:val="22"/>
        </w:rPr>
        <w:t>R</w:t>
      </w:r>
      <w:r w:rsidR="006202F7" w:rsidRPr="006202F7">
        <w:rPr>
          <w:rFonts w:cs="Arial"/>
          <w:sz w:val="22"/>
        </w:rPr>
        <w:t>equirements for FR1</w:t>
      </w:r>
    </w:p>
    <w:p w14:paraId="2242B23F" w14:textId="77777777" w:rsidR="00221D90" w:rsidRPr="00ED2F28" w:rsidRDefault="00221D90" w:rsidP="00D3489B">
      <w:pPr>
        <w:pStyle w:val="TAC"/>
        <w:ind w:left="1985" w:hanging="1985"/>
        <w:jc w:val="both"/>
        <w:rPr>
          <w:rFonts w:eastAsia="SimSun" w:cs="Arial"/>
          <w:sz w:val="22"/>
          <w:lang w:eastAsia="zh-CN"/>
        </w:rPr>
      </w:pPr>
    </w:p>
    <w:p w14:paraId="73BCD5A1" w14:textId="3247D3FD" w:rsidR="0074607D" w:rsidRDefault="00675C27" w:rsidP="006E632F">
      <w:pPr>
        <w:ind w:left="1985" w:hanging="1985"/>
        <w:jc w:val="both"/>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FC6372" w:rsidRPr="00FC6372">
        <w:rPr>
          <w:rFonts w:ascii="Arial" w:hAnsi="Arial" w:cs="Arial"/>
          <w:sz w:val="22"/>
        </w:rPr>
        <w:t xml:space="preserve">9.12 RF requirements </w:t>
      </w:r>
      <w:r w:rsidR="00DD16EF">
        <w:rPr>
          <w:rFonts w:ascii="Arial" w:hAnsi="Arial" w:cs="Arial"/>
          <w:sz w:val="22"/>
        </w:rPr>
        <w:t xml:space="preserve">for NR frequency range 1 (FR1) </w:t>
      </w:r>
      <w:r w:rsidR="00FC6372" w:rsidRPr="00FC6372">
        <w:rPr>
          <w:rFonts w:ascii="Arial" w:hAnsi="Arial" w:cs="Arial"/>
          <w:sz w:val="22"/>
        </w:rPr>
        <w:t>[NR_RF_FR1]</w:t>
      </w:r>
    </w:p>
    <w:p w14:paraId="2E5C6AEA" w14:textId="765B7A8C"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730829">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175F6BA6" w:rsidR="00577141" w:rsidRPr="00266639" w:rsidRDefault="00730829"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6202F7">
        <w:rPr>
          <w:rFonts w:eastAsia="SimSun"/>
          <w:lang w:eastAsia="zh-CN"/>
        </w:rPr>
        <w:t>Release 16</w:t>
      </w:r>
      <w:r w:rsidR="00795A2C">
        <w:rPr>
          <w:rFonts w:eastAsia="SimSun"/>
          <w:lang w:eastAsia="zh-CN"/>
        </w:rPr>
        <w:t>,</w:t>
      </w:r>
      <w:r w:rsidR="006202F7">
        <w:rPr>
          <w:rFonts w:eastAsia="SimSun"/>
          <w:lang w:eastAsia="zh-CN"/>
        </w:rPr>
        <w:t xml:space="preserve"> one of the key UE RF </w:t>
      </w:r>
      <w:r w:rsidR="00795A2C">
        <w:rPr>
          <w:rFonts w:eastAsia="SimSun"/>
          <w:lang w:eastAsia="zh-CN"/>
        </w:rPr>
        <w:t>evolution</w:t>
      </w:r>
      <w:r w:rsidR="006202F7">
        <w:rPr>
          <w:rFonts w:eastAsia="SimSun"/>
          <w:lang w:eastAsia="zh-CN"/>
        </w:rPr>
        <w:t xml:space="preserve"> compared to </w:t>
      </w:r>
      <w:r w:rsidR="00795A2C">
        <w:rPr>
          <w:rFonts w:eastAsia="SimSun"/>
          <w:lang w:eastAsia="zh-CN"/>
        </w:rPr>
        <w:t>R</w:t>
      </w:r>
      <w:r w:rsidR="006202F7">
        <w:rPr>
          <w:rFonts w:eastAsia="SimSun"/>
          <w:lang w:eastAsia="zh-CN"/>
        </w:rPr>
        <w:t>elease 15 is the addition of intra-band UL CA for NR with both contiguous and non-contiguous cases</w:t>
      </w:r>
      <w:r w:rsidR="000578F2">
        <w:rPr>
          <w:rFonts w:eastAsia="SimSun"/>
          <w:lang w:eastAsia="zh-CN"/>
        </w:rPr>
        <w:t>.</w:t>
      </w:r>
      <w:r w:rsidR="006202F7">
        <w:rPr>
          <w:rFonts w:eastAsia="SimSun"/>
          <w:lang w:eastAsia="zh-CN"/>
        </w:rPr>
        <w:t xml:space="preserve"> This contribution proposes a summary of associated requirements and assumptions for the study of related MPR and AMPR. Although it focuses on FR1</w:t>
      </w:r>
      <w:r w:rsidR="00795A2C">
        <w:rPr>
          <w:rFonts w:eastAsia="SimSun"/>
          <w:lang w:eastAsia="zh-CN"/>
        </w:rPr>
        <w:t>,</w:t>
      </w:r>
      <w:r w:rsidR="006202F7">
        <w:rPr>
          <w:rFonts w:eastAsia="SimSun"/>
          <w:lang w:eastAsia="zh-CN"/>
        </w:rPr>
        <w:t xml:space="preserve"> most of the requirement principles are applicable to FR2. The MPR/AMPR requirements build on the inner and outer allocations concepts for 2CCs that are developed in [1]</w:t>
      </w:r>
      <w:r w:rsidR="00A83CDD">
        <w:rPr>
          <w:rFonts w:eastAsia="SimSun"/>
          <w:lang w:eastAsia="zh-CN"/>
        </w:rPr>
        <w:t>.</w:t>
      </w:r>
    </w:p>
    <w:p w14:paraId="34099A5E" w14:textId="10D54927" w:rsidR="00FC6372" w:rsidRDefault="00853ECB" w:rsidP="00FC6372">
      <w:pPr>
        <w:pStyle w:val="Heading1"/>
        <w:jc w:val="both"/>
        <w:rPr>
          <w:rFonts w:eastAsia="SimSun"/>
          <w:lang w:eastAsia="zh-CN"/>
        </w:rPr>
      </w:pPr>
      <w:r>
        <w:rPr>
          <w:rFonts w:eastAsia="SimSun" w:hint="eastAsia"/>
          <w:lang w:eastAsia="zh-CN"/>
        </w:rPr>
        <w:t>Discussion</w:t>
      </w:r>
    </w:p>
    <w:p w14:paraId="69F157AD" w14:textId="1FFB6354" w:rsidR="006202F7" w:rsidRDefault="006202F7" w:rsidP="006202F7">
      <w:pPr>
        <w:pStyle w:val="Heading2"/>
        <w:spacing w:after="240"/>
        <w:rPr>
          <w:sz w:val="36"/>
          <w:lang w:val="en-US"/>
        </w:rPr>
      </w:pPr>
      <w:r>
        <w:rPr>
          <w:sz w:val="36"/>
          <w:lang w:val="en-US"/>
        </w:rPr>
        <w:t>Generic Assumptions</w:t>
      </w:r>
      <w:r w:rsidR="00C55191">
        <w:rPr>
          <w:sz w:val="36"/>
          <w:lang w:val="en-US"/>
        </w:rPr>
        <w:t xml:space="preserve"> and Band specific Aspects</w:t>
      </w:r>
    </w:p>
    <w:p w14:paraId="4030E088" w14:textId="3992D221" w:rsidR="003F1D8A" w:rsidRPr="006202F7" w:rsidRDefault="006202F7" w:rsidP="006202F7">
      <w:pPr>
        <w:tabs>
          <w:tab w:val="left" w:pos="5103"/>
        </w:tabs>
        <w:spacing w:after="0"/>
        <w:jc w:val="both"/>
      </w:pPr>
      <w:r w:rsidRPr="006202F7">
        <w:t>In accordance with principle</w:t>
      </w:r>
      <w:r w:rsidR="00A83CDD">
        <w:t>s</w:t>
      </w:r>
      <w:r w:rsidRPr="006202F7">
        <w:t xml:space="preserve"> used in LTE and as logical for NR stand-alone, the following assumptions are proposed:</w:t>
      </w:r>
    </w:p>
    <w:p w14:paraId="7EA1698A" w14:textId="003A5478" w:rsidR="002E5E13" w:rsidRDefault="002E5E13" w:rsidP="001227D0">
      <w:pPr>
        <w:pStyle w:val="ListParagraph"/>
        <w:numPr>
          <w:ilvl w:val="0"/>
          <w:numId w:val="17"/>
        </w:numPr>
        <w:tabs>
          <w:tab w:val="left" w:pos="5103"/>
        </w:tabs>
        <w:spacing w:after="0"/>
        <w:ind w:left="360"/>
        <w:jc w:val="both"/>
      </w:pPr>
      <w:r>
        <w:t xml:space="preserve">A single </w:t>
      </w:r>
      <w:r w:rsidR="004862EF">
        <w:t xml:space="preserve">transmitter path </w:t>
      </w:r>
      <w:r>
        <w:t>is used</w:t>
      </w:r>
    </w:p>
    <w:p w14:paraId="196BE307" w14:textId="76E495FE" w:rsidR="006202F7" w:rsidRDefault="006202F7" w:rsidP="001227D0">
      <w:pPr>
        <w:pStyle w:val="ListParagraph"/>
        <w:numPr>
          <w:ilvl w:val="0"/>
          <w:numId w:val="17"/>
        </w:numPr>
        <w:tabs>
          <w:tab w:val="left" w:pos="5103"/>
        </w:tabs>
        <w:spacing w:after="0"/>
        <w:ind w:left="360"/>
        <w:jc w:val="both"/>
      </w:pPr>
      <w:r w:rsidRPr="006202F7">
        <w:t>Both CCs use th</w:t>
      </w:r>
      <w:r w:rsidR="002E5E13">
        <w:t>e</w:t>
      </w:r>
      <w:r w:rsidRPr="006202F7">
        <w:t xml:space="preserve"> same</w:t>
      </w:r>
      <w:r>
        <w:t xml:space="preserve"> sub-carrier spacing</w:t>
      </w:r>
    </w:p>
    <w:p w14:paraId="50B83BC2" w14:textId="0356930C" w:rsidR="006202F7" w:rsidRDefault="006202F7" w:rsidP="001227D0">
      <w:pPr>
        <w:pStyle w:val="ListParagraph"/>
        <w:numPr>
          <w:ilvl w:val="0"/>
          <w:numId w:val="17"/>
        </w:numPr>
        <w:tabs>
          <w:tab w:val="left" w:pos="5103"/>
        </w:tabs>
        <w:spacing w:after="0"/>
        <w:ind w:left="360"/>
        <w:jc w:val="both"/>
      </w:pPr>
      <w:r>
        <w:t xml:space="preserve">For the contiguous case, </w:t>
      </w:r>
      <w:r w:rsidR="002E5E13">
        <w:t xml:space="preserve">the </w:t>
      </w:r>
      <w:r>
        <w:t>maximum distance between the two CCs</w:t>
      </w:r>
      <w:r w:rsidR="002E5E13">
        <w:t xml:space="preserve"> is half the sum of the carriers channel bandwidths (100 KHz channel raster) but can be smaller depending on the channel raster. This implies that the maximum aggregated bandwidth is the sum of each channel bandwidth.</w:t>
      </w:r>
    </w:p>
    <w:p w14:paraId="4A478E62" w14:textId="495C8D8D" w:rsidR="002E5E13" w:rsidRDefault="00A83CDD" w:rsidP="001227D0">
      <w:pPr>
        <w:pStyle w:val="ListParagraph"/>
        <w:numPr>
          <w:ilvl w:val="0"/>
          <w:numId w:val="17"/>
        </w:numPr>
        <w:tabs>
          <w:tab w:val="left" w:pos="5103"/>
        </w:tabs>
        <w:spacing w:after="0"/>
        <w:ind w:left="360"/>
        <w:jc w:val="both"/>
      </w:pPr>
      <w:r>
        <w:t>Since power sharing aspects are fully controlled compared to ENDC, e</w:t>
      </w:r>
      <w:r w:rsidR="002E5E13">
        <w:t>ach CCs use equal PSD and equal back-off and power control is applied to the total power</w:t>
      </w:r>
      <w:r>
        <w:t>.</w:t>
      </w:r>
    </w:p>
    <w:p w14:paraId="04FA0BDC" w14:textId="34378718" w:rsidR="002E5E13" w:rsidRDefault="002E5E13" w:rsidP="001227D0">
      <w:pPr>
        <w:pStyle w:val="ListParagraph"/>
        <w:numPr>
          <w:ilvl w:val="0"/>
          <w:numId w:val="17"/>
        </w:numPr>
        <w:tabs>
          <w:tab w:val="left" w:pos="5103"/>
        </w:tabs>
        <w:spacing w:after="0"/>
        <w:ind w:left="360"/>
        <w:jc w:val="both"/>
      </w:pPr>
      <w:r>
        <w:t>As a first step the total transmitted bandwidth (CC1+CC2 bandwidth for contiguous cases and CC1+CC2+gap bandwidth for non-contiguous case)</w:t>
      </w:r>
      <w:r w:rsidR="00293F5E">
        <w:t xml:space="preserve"> should not exceed 3% BW for FDD and 4% bandwidth for TDD as already agreed for single carrier. Larger bandwidth may require additional back</w:t>
      </w:r>
      <w:r w:rsidR="00795A2C">
        <w:t>-</w:t>
      </w:r>
      <w:r w:rsidR="00293F5E">
        <w:t>off and/or spectrum f</w:t>
      </w:r>
      <w:r w:rsidR="00795A2C">
        <w:t>l</w:t>
      </w:r>
      <w:r w:rsidR="00293F5E">
        <w:t>atness relaxations</w:t>
      </w:r>
      <w:r>
        <w:t>:</w:t>
      </w:r>
    </w:p>
    <w:p w14:paraId="19029794" w14:textId="57739DA3" w:rsidR="002E5E13" w:rsidRDefault="002E5E13" w:rsidP="001227D0">
      <w:pPr>
        <w:pStyle w:val="ListParagraph"/>
        <w:numPr>
          <w:ilvl w:val="0"/>
          <w:numId w:val="17"/>
        </w:numPr>
        <w:tabs>
          <w:tab w:val="left" w:pos="5103"/>
        </w:tabs>
        <w:spacing w:after="0"/>
        <w:jc w:val="both"/>
      </w:pPr>
      <w:r>
        <w:t xml:space="preserve">The current </w:t>
      </w:r>
      <w:r w:rsidR="00293F5E">
        <w:t xml:space="preserve">FDD </w:t>
      </w:r>
      <w:r>
        <w:t xml:space="preserve">bands that </w:t>
      </w:r>
      <w:r w:rsidR="00293F5E">
        <w:t xml:space="preserve">are &gt;3% BW are n1, </w:t>
      </w:r>
      <w:r w:rsidR="001227D0">
        <w:t xml:space="preserve">n2, </w:t>
      </w:r>
      <w:r w:rsidR="00293F5E">
        <w:t xml:space="preserve">n3, </w:t>
      </w:r>
      <w:r w:rsidR="001227D0">
        <w:t xml:space="preserve">n8, n20, n25, </w:t>
      </w:r>
      <w:r w:rsidR="00293F5E">
        <w:t>n28</w:t>
      </w:r>
      <w:r w:rsidR="001227D0">
        <w:t xml:space="preserve">, n50, n65 and n66 </w:t>
      </w:r>
      <w:r w:rsidR="00293F5E">
        <w:t>but is it unclear if any operator owns contiguous or non-contiguous spectrum exceeding 3% BW.</w:t>
      </w:r>
      <w:r w:rsidR="001227D0">
        <w:t xml:space="preserve"> To our understanding, for these bands the contiguous case using twice the max channel bandwidth is less than 3% BW and operators are encouraged to check.</w:t>
      </w:r>
    </w:p>
    <w:p w14:paraId="1CDAD16A" w14:textId="77777777" w:rsidR="001227D0" w:rsidRDefault="00293F5E" w:rsidP="001227D0">
      <w:pPr>
        <w:pStyle w:val="ListParagraph"/>
        <w:numPr>
          <w:ilvl w:val="0"/>
          <w:numId w:val="17"/>
        </w:numPr>
        <w:tabs>
          <w:tab w:val="left" w:pos="5103"/>
        </w:tabs>
        <w:spacing w:after="0"/>
        <w:jc w:val="both"/>
      </w:pPr>
      <w:r>
        <w:t>The current TDD bands that are &gt;</w:t>
      </w:r>
      <w:r w:rsidR="001227D0">
        <w:t xml:space="preserve"> </w:t>
      </w:r>
      <w:r>
        <w:t>4% BW are n40, n41, n48, n50, n77, n78, n79</w:t>
      </w:r>
      <w:r w:rsidR="001227D0">
        <w:t>, n90</w:t>
      </w:r>
      <w:r>
        <w:t xml:space="preserve"> and unlicensed NRU bands.</w:t>
      </w:r>
      <w:r w:rsidR="001227D0">
        <w:t xml:space="preserve"> For n40 no operator owns &gt; 80 MHz to our knowledge so it should not be an issue however:</w:t>
      </w:r>
    </w:p>
    <w:p w14:paraId="0A03F5DB" w14:textId="5146826D" w:rsidR="001227D0" w:rsidRDefault="001227D0" w:rsidP="004862EF">
      <w:pPr>
        <w:pStyle w:val="ListParagraph"/>
        <w:numPr>
          <w:ilvl w:val="1"/>
          <w:numId w:val="17"/>
        </w:numPr>
        <w:tabs>
          <w:tab w:val="left" w:pos="5103"/>
        </w:tabs>
        <w:spacing w:after="0"/>
        <w:ind w:left="1080"/>
        <w:jc w:val="both"/>
      </w:pPr>
      <w:r>
        <w:t>For n41 the 4% BW is 100</w:t>
      </w:r>
      <w:r w:rsidR="00795A2C">
        <w:t xml:space="preserve"> </w:t>
      </w:r>
      <w:r>
        <w:t xml:space="preserve">MHz which can be </w:t>
      </w:r>
      <w:r w:rsidR="00C55191">
        <w:t>exceeded in some regions thus additional MPR may need to be verified.</w:t>
      </w:r>
    </w:p>
    <w:p w14:paraId="15B15DF2" w14:textId="2611ED6C" w:rsidR="00C55191" w:rsidRDefault="00C55191" w:rsidP="004862EF">
      <w:pPr>
        <w:pStyle w:val="ListParagraph"/>
        <w:numPr>
          <w:ilvl w:val="1"/>
          <w:numId w:val="17"/>
        </w:numPr>
        <w:tabs>
          <w:tab w:val="left" w:pos="5103"/>
        </w:tabs>
        <w:spacing w:after="0"/>
        <w:ind w:left="1080"/>
        <w:jc w:val="both"/>
      </w:pPr>
      <w:r>
        <w:t>For n48 the 4% BW is 140</w:t>
      </w:r>
      <w:r w:rsidR="00795A2C">
        <w:t xml:space="preserve"> </w:t>
      </w:r>
      <w:r>
        <w:t>MHz but assuming contiguous CA and 50 MHz channel BW it should be OK but if non-contiguous case is considered it should be studied further</w:t>
      </w:r>
      <w:r w:rsidR="00795A2C">
        <w:t>,</w:t>
      </w:r>
      <w:r>
        <w:t xml:space="preserve"> especially due to huge AMPR related to the -40</w:t>
      </w:r>
      <w:r w:rsidR="00795A2C">
        <w:t xml:space="preserve"> </w:t>
      </w:r>
      <w:proofErr w:type="spellStart"/>
      <w:r>
        <w:t>dBm</w:t>
      </w:r>
      <w:proofErr w:type="spellEnd"/>
      <w:r>
        <w:t>/MHz OOB requirement</w:t>
      </w:r>
    </w:p>
    <w:p w14:paraId="69A1F510" w14:textId="714603EF" w:rsidR="00C55191" w:rsidRDefault="00C55191" w:rsidP="004862EF">
      <w:pPr>
        <w:pStyle w:val="ListParagraph"/>
        <w:numPr>
          <w:ilvl w:val="1"/>
          <w:numId w:val="17"/>
        </w:numPr>
        <w:tabs>
          <w:tab w:val="left" w:pos="5103"/>
        </w:tabs>
        <w:spacing w:after="0"/>
        <w:ind w:left="1080"/>
        <w:jc w:val="both"/>
      </w:pPr>
      <w:r>
        <w:t>For n50 the 4% BW is 60</w:t>
      </w:r>
      <w:r w:rsidR="00795A2C">
        <w:t xml:space="preserve"> </w:t>
      </w:r>
      <w:r>
        <w:t>MHz</w:t>
      </w:r>
      <w:r w:rsidR="00795A2C">
        <w:t>,</w:t>
      </w:r>
      <w:r>
        <w:t xml:space="preserve"> it is unclear that higher BW is required and this already corresponds to the maximum UL channel BW.</w:t>
      </w:r>
    </w:p>
    <w:p w14:paraId="0A1E4D0F" w14:textId="51494540" w:rsidR="00C55191" w:rsidRDefault="00C55191" w:rsidP="004862EF">
      <w:pPr>
        <w:pStyle w:val="ListParagraph"/>
        <w:numPr>
          <w:ilvl w:val="1"/>
          <w:numId w:val="17"/>
        </w:numPr>
        <w:tabs>
          <w:tab w:val="left" w:pos="5103"/>
        </w:tabs>
        <w:spacing w:after="0"/>
        <w:ind w:left="1080"/>
        <w:jc w:val="both"/>
      </w:pPr>
      <w:r>
        <w:t>For n77/78 the 4% BW is 150</w:t>
      </w:r>
      <w:r w:rsidR="00795A2C">
        <w:t xml:space="preserve"> </w:t>
      </w:r>
      <w:r>
        <w:t>MHz which is less than 2x100</w:t>
      </w:r>
      <w:r w:rsidR="00795A2C">
        <w:t xml:space="preserve"> </w:t>
      </w:r>
      <w:r>
        <w:t>MHz but as of today no operator owns more than 100</w:t>
      </w:r>
      <w:r w:rsidR="00795A2C">
        <w:t xml:space="preserve"> </w:t>
      </w:r>
      <w:r>
        <w:t>MHz in this band, furthermore transmi</w:t>
      </w:r>
      <w:r w:rsidR="001E3299">
        <w:t>s</w:t>
      </w:r>
      <w:r>
        <w:t>sion BW larger than 100</w:t>
      </w:r>
      <w:r w:rsidR="00795A2C">
        <w:t xml:space="preserve"> </w:t>
      </w:r>
      <w:r>
        <w:t>MHz could cause</w:t>
      </w:r>
      <w:r w:rsidR="001E3299">
        <w:t xml:space="preserve"> further</w:t>
      </w:r>
      <w:r>
        <w:t xml:space="preserve"> issues with </w:t>
      </w:r>
      <w:r w:rsidR="001E3299">
        <w:t>altimeter band and should be carefully considered in the case of n77 but also potentially for n78.</w:t>
      </w:r>
    </w:p>
    <w:p w14:paraId="5242811E" w14:textId="02F28324" w:rsidR="001E3299" w:rsidRDefault="001E3299" w:rsidP="004862EF">
      <w:pPr>
        <w:pStyle w:val="ListParagraph"/>
        <w:numPr>
          <w:ilvl w:val="1"/>
          <w:numId w:val="17"/>
        </w:numPr>
        <w:tabs>
          <w:tab w:val="left" w:pos="5103"/>
        </w:tabs>
        <w:spacing w:after="0"/>
        <w:ind w:left="1080"/>
        <w:jc w:val="both"/>
      </w:pPr>
      <w:r>
        <w:t>For n79 the 4% BW is 180</w:t>
      </w:r>
      <w:r w:rsidR="00795A2C">
        <w:t xml:space="preserve"> </w:t>
      </w:r>
      <w:r>
        <w:t>MHz, same considerations than for n77</w:t>
      </w:r>
    </w:p>
    <w:p w14:paraId="11273AD8" w14:textId="2C9DBC38" w:rsidR="001E3299" w:rsidRDefault="001E3299" w:rsidP="001E3299">
      <w:pPr>
        <w:pStyle w:val="ListParagraph"/>
        <w:numPr>
          <w:ilvl w:val="0"/>
          <w:numId w:val="17"/>
        </w:numPr>
        <w:tabs>
          <w:tab w:val="left" w:pos="5103"/>
        </w:tabs>
        <w:spacing w:after="0"/>
        <w:ind w:left="360"/>
        <w:jc w:val="both"/>
      </w:pPr>
      <w:r>
        <w:t>It is suggested to start with aggregations of channel bandwidths between 20 MHz and 100</w:t>
      </w:r>
      <w:r w:rsidR="00795A2C">
        <w:t xml:space="preserve"> </w:t>
      </w:r>
      <w:r>
        <w:t>MHz</w:t>
      </w:r>
    </w:p>
    <w:p w14:paraId="258ED6BC" w14:textId="77777777" w:rsidR="001E3299" w:rsidRDefault="001E3299" w:rsidP="001E3299">
      <w:pPr>
        <w:tabs>
          <w:tab w:val="left" w:pos="5103"/>
        </w:tabs>
        <w:spacing w:after="0"/>
        <w:jc w:val="both"/>
      </w:pPr>
    </w:p>
    <w:p w14:paraId="3536E33D" w14:textId="5F481FDD" w:rsidR="001E3299" w:rsidRPr="001E3299" w:rsidRDefault="001E3299" w:rsidP="001E3299">
      <w:pPr>
        <w:tabs>
          <w:tab w:val="left" w:pos="5103"/>
        </w:tabs>
        <w:spacing w:after="0"/>
        <w:jc w:val="both"/>
        <w:rPr>
          <w:b/>
        </w:rPr>
      </w:pPr>
      <w:r w:rsidRPr="001E3299">
        <w:rPr>
          <w:b/>
        </w:rPr>
        <w:t>Proposal 1 assumptions for MPR studies:</w:t>
      </w:r>
    </w:p>
    <w:p w14:paraId="15B86D5C" w14:textId="2FB9A6A2" w:rsidR="001E3299" w:rsidRPr="001E3299" w:rsidRDefault="001E3299" w:rsidP="001E3299">
      <w:pPr>
        <w:pStyle w:val="ListParagraph"/>
        <w:numPr>
          <w:ilvl w:val="0"/>
          <w:numId w:val="18"/>
        </w:numPr>
        <w:tabs>
          <w:tab w:val="left" w:pos="5103"/>
        </w:tabs>
        <w:spacing w:after="0"/>
        <w:jc w:val="both"/>
        <w:rPr>
          <w:b/>
        </w:rPr>
      </w:pPr>
      <w:r w:rsidRPr="001E3299">
        <w:rPr>
          <w:b/>
        </w:rPr>
        <w:t xml:space="preserve">Power aspects: Single </w:t>
      </w:r>
      <w:r w:rsidR="004862EF">
        <w:rPr>
          <w:b/>
        </w:rPr>
        <w:t>transmit path</w:t>
      </w:r>
      <w:r w:rsidRPr="001E3299">
        <w:rPr>
          <w:b/>
        </w:rPr>
        <w:t>, equal PSD and equal back-off is used</w:t>
      </w:r>
    </w:p>
    <w:p w14:paraId="23FB197D" w14:textId="363A8D5F" w:rsidR="001E3299" w:rsidRPr="001E3299" w:rsidRDefault="001E3299" w:rsidP="001E3299">
      <w:pPr>
        <w:pStyle w:val="ListParagraph"/>
        <w:numPr>
          <w:ilvl w:val="0"/>
          <w:numId w:val="18"/>
        </w:numPr>
        <w:tabs>
          <w:tab w:val="left" w:pos="5103"/>
        </w:tabs>
        <w:spacing w:after="0"/>
        <w:jc w:val="both"/>
        <w:rPr>
          <w:b/>
        </w:rPr>
      </w:pPr>
      <w:r w:rsidRPr="001E3299">
        <w:rPr>
          <w:b/>
        </w:rPr>
        <w:t xml:space="preserve">CCs: </w:t>
      </w:r>
      <w:r w:rsidR="00795A2C">
        <w:rPr>
          <w:b/>
        </w:rPr>
        <w:t>S</w:t>
      </w:r>
      <w:r w:rsidRPr="001E3299">
        <w:rPr>
          <w:b/>
        </w:rPr>
        <w:t xml:space="preserve">ame SCS and </w:t>
      </w:r>
      <w:r>
        <w:rPr>
          <w:b/>
        </w:rPr>
        <w:t xml:space="preserve">channel </w:t>
      </w:r>
      <w:r w:rsidRPr="001E3299">
        <w:rPr>
          <w:b/>
        </w:rPr>
        <w:t>BW betwe</w:t>
      </w:r>
      <w:r>
        <w:rPr>
          <w:b/>
        </w:rPr>
        <w:t>e</w:t>
      </w:r>
      <w:r w:rsidRPr="001E3299">
        <w:rPr>
          <w:b/>
        </w:rPr>
        <w:t>n</w:t>
      </w:r>
      <w:r>
        <w:rPr>
          <w:b/>
        </w:rPr>
        <w:t xml:space="preserve"> </w:t>
      </w:r>
      <w:r w:rsidRPr="001E3299">
        <w:rPr>
          <w:b/>
        </w:rPr>
        <w:t>20 and 100</w:t>
      </w:r>
      <w:r>
        <w:rPr>
          <w:b/>
        </w:rPr>
        <w:t xml:space="preserve"> </w:t>
      </w:r>
      <w:r w:rsidRPr="001E3299">
        <w:rPr>
          <w:b/>
        </w:rPr>
        <w:t>MHz</w:t>
      </w:r>
    </w:p>
    <w:p w14:paraId="6A977578" w14:textId="7636702E" w:rsidR="001E3299" w:rsidRPr="001E3299" w:rsidRDefault="001E3299" w:rsidP="001E3299">
      <w:pPr>
        <w:pStyle w:val="ListParagraph"/>
        <w:numPr>
          <w:ilvl w:val="0"/>
          <w:numId w:val="18"/>
        </w:numPr>
        <w:tabs>
          <w:tab w:val="left" w:pos="5103"/>
        </w:tabs>
        <w:spacing w:after="0"/>
        <w:jc w:val="both"/>
        <w:rPr>
          <w:b/>
        </w:rPr>
      </w:pPr>
      <w:r w:rsidRPr="001E3299">
        <w:rPr>
          <w:b/>
        </w:rPr>
        <w:t>Bands and channel configurations: % BW limitations (3% FDD, 4% TDD) should be considered</w:t>
      </w:r>
      <w:r w:rsidR="004862EF">
        <w:rPr>
          <w:b/>
        </w:rPr>
        <w:t xml:space="preserve"> for total transmitted BW and further back</w:t>
      </w:r>
      <w:r w:rsidR="00795A2C">
        <w:rPr>
          <w:b/>
        </w:rPr>
        <w:t>-</w:t>
      </w:r>
      <w:r w:rsidR="004862EF">
        <w:rPr>
          <w:b/>
        </w:rPr>
        <w:t>off evaluated if exceeded (possibly with spectrum flatness relaxations)</w:t>
      </w:r>
    </w:p>
    <w:p w14:paraId="7CF4F73A" w14:textId="736F4ABD" w:rsidR="00577141" w:rsidRDefault="00964F98" w:rsidP="00577141">
      <w:pPr>
        <w:pStyle w:val="Heading2"/>
        <w:spacing w:after="240"/>
        <w:rPr>
          <w:sz w:val="36"/>
          <w:lang w:val="en-US"/>
        </w:rPr>
      </w:pPr>
      <w:r>
        <w:rPr>
          <w:sz w:val="36"/>
          <w:lang w:val="en-US"/>
        </w:rPr>
        <w:t>C</w:t>
      </w:r>
      <w:r w:rsidR="000578F2">
        <w:rPr>
          <w:sz w:val="36"/>
          <w:lang w:val="en-US"/>
        </w:rPr>
        <w:t xml:space="preserve">ontiguous </w:t>
      </w:r>
      <w:r w:rsidR="006202F7">
        <w:rPr>
          <w:sz w:val="36"/>
          <w:lang w:val="en-US"/>
        </w:rPr>
        <w:t xml:space="preserve">NR UL CA </w:t>
      </w:r>
      <w:r>
        <w:rPr>
          <w:sz w:val="36"/>
          <w:lang w:val="en-US"/>
        </w:rPr>
        <w:t>C</w:t>
      </w:r>
      <w:r w:rsidR="006202F7">
        <w:rPr>
          <w:sz w:val="36"/>
          <w:lang w:val="en-US"/>
        </w:rPr>
        <w:t>ase</w:t>
      </w:r>
    </w:p>
    <w:p w14:paraId="51DA8705" w14:textId="115962BF" w:rsidR="001601FD" w:rsidRDefault="001E3299" w:rsidP="006202F7">
      <w:pPr>
        <w:rPr>
          <w:lang w:val="en-GB"/>
        </w:rPr>
      </w:pPr>
      <w:r>
        <w:rPr>
          <w:lang w:val="en-GB"/>
        </w:rPr>
        <w:t xml:space="preserve">As for ENDC and LTE the SEM and ACLR requirements should be based on the aggregated channel bandwidth. </w:t>
      </w:r>
      <w:r w:rsidR="00F373B3">
        <w:rPr>
          <w:lang w:val="en-GB"/>
        </w:rPr>
        <w:t>Still a question arises in term of the measurement bandwidths for ACLR. Table</w:t>
      </w:r>
      <w:r w:rsidR="00795A2C">
        <w:rPr>
          <w:lang w:val="en-GB"/>
        </w:rPr>
        <w:t xml:space="preserve"> </w:t>
      </w:r>
      <w:r w:rsidR="00F373B3">
        <w:rPr>
          <w:lang w:val="en-GB"/>
        </w:rPr>
        <w:t>1 below provides the aggregated spectrum utilization for aggregation of the same NR channel bandwidth for FR1 and FR2.</w:t>
      </w:r>
    </w:p>
    <w:p w14:paraId="50CBE660" w14:textId="62498B67" w:rsidR="001601FD" w:rsidRDefault="001601FD" w:rsidP="001601FD">
      <w:pPr>
        <w:pStyle w:val="Caption"/>
        <w:keepNext/>
        <w:jc w:val="center"/>
      </w:pPr>
      <w:r>
        <w:t xml:space="preserve">Table </w:t>
      </w:r>
      <w:r w:rsidR="00131AC9">
        <w:fldChar w:fldCharType="begin"/>
      </w:r>
      <w:r w:rsidR="00131AC9">
        <w:instrText xml:space="preserve"> SEQ Table \* ARABIC </w:instrText>
      </w:r>
      <w:r w:rsidR="00131AC9">
        <w:fldChar w:fldCharType="separate"/>
      </w:r>
      <w:r>
        <w:rPr>
          <w:noProof/>
        </w:rPr>
        <w:t>1</w:t>
      </w:r>
      <w:r w:rsidR="00131AC9">
        <w:rPr>
          <w:noProof/>
        </w:rPr>
        <w:fldChar w:fldCharType="end"/>
      </w:r>
      <w:r>
        <w:t>: Spectrum Utilization for 1CC 2CC vs channel bandwidths</w:t>
      </w:r>
    </w:p>
    <w:tbl>
      <w:tblPr>
        <w:tblW w:w="6621" w:type="dxa"/>
        <w:jc w:val="center"/>
        <w:tblInd w:w="93" w:type="dxa"/>
        <w:tblLook w:val="04A0" w:firstRow="1" w:lastRow="0" w:firstColumn="1" w:lastColumn="0" w:noHBand="0" w:noVBand="1"/>
      </w:tblPr>
      <w:tblGrid>
        <w:gridCol w:w="589"/>
        <w:gridCol w:w="754"/>
        <w:gridCol w:w="754"/>
        <w:gridCol w:w="754"/>
        <w:gridCol w:w="754"/>
        <w:gridCol w:w="754"/>
        <w:gridCol w:w="754"/>
        <w:gridCol w:w="754"/>
        <w:gridCol w:w="754"/>
      </w:tblGrid>
      <w:tr w:rsidR="001601FD" w:rsidRPr="001601FD" w14:paraId="4FD74443" w14:textId="77777777" w:rsidTr="001601FD">
        <w:trPr>
          <w:trHeight w:val="240"/>
          <w:jc w:val="center"/>
        </w:trPr>
        <w:tc>
          <w:tcPr>
            <w:tcW w:w="589" w:type="dxa"/>
            <w:tcBorders>
              <w:top w:val="nil"/>
              <w:left w:val="nil"/>
              <w:bottom w:val="nil"/>
              <w:right w:val="nil"/>
            </w:tcBorders>
            <w:shd w:val="clear" w:color="auto" w:fill="auto"/>
            <w:noWrap/>
            <w:vAlign w:val="bottom"/>
            <w:hideMark/>
          </w:tcPr>
          <w:p w14:paraId="4EACA611" w14:textId="77777777" w:rsidR="001601FD" w:rsidRPr="001601FD" w:rsidRDefault="001601FD" w:rsidP="001601FD">
            <w:pPr>
              <w:overflowPunct/>
              <w:autoSpaceDE/>
              <w:autoSpaceDN/>
              <w:adjustRightInd/>
              <w:spacing w:after="0"/>
              <w:textAlignment w:val="auto"/>
              <w:rPr>
                <w:rFonts w:ascii="Calibri" w:hAnsi="Calibri"/>
                <w:color w:val="000000"/>
                <w:sz w:val="18"/>
                <w:szCs w:val="18"/>
              </w:rPr>
            </w:pPr>
          </w:p>
        </w:tc>
        <w:tc>
          <w:tcPr>
            <w:tcW w:w="603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BBA4F" w14:textId="77777777" w:rsidR="001601FD" w:rsidRPr="001601FD" w:rsidRDefault="001601FD" w:rsidP="001601FD">
            <w:pPr>
              <w:overflowPunct/>
              <w:autoSpaceDE/>
              <w:autoSpaceDN/>
              <w:adjustRightInd/>
              <w:spacing w:after="0"/>
              <w:jc w:val="center"/>
              <w:textAlignment w:val="auto"/>
              <w:rPr>
                <w:rFonts w:ascii="Calibri" w:hAnsi="Calibri"/>
                <w:b/>
                <w:color w:val="000000"/>
                <w:sz w:val="18"/>
                <w:szCs w:val="18"/>
              </w:rPr>
            </w:pPr>
            <w:r w:rsidRPr="001601FD">
              <w:rPr>
                <w:rFonts w:ascii="Calibri" w:hAnsi="Calibri"/>
                <w:b/>
                <w:color w:val="000000"/>
                <w:sz w:val="18"/>
                <w:szCs w:val="18"/>
              </w:rPr>
              <w:t>FR1Channel BW [MHz]</w:t>
            </w:r>
          </w:p>
        </w:tc>
      </w:tr>
      <w:tr w:rsidR="001601FD" w:rsidRPr="001601FD" w14:paraId="0BECDC58" w14:textId="77777777" w:rsidTr="001601FD">
        <w:trPr>
          <w:trHeight w:val="240"/>
          <w:jc w:val="center"/>
        </w:trPr>
        <w:tc>
          <w:tcPr>
            <w:tcW w:w="5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6296D5" w14:textId="77777777" w:rsidR="001601FD" w:rsidRPr="001601FD" w:rsidRDefault="001601FD" w:rsidP="001601FD">
            <w:pPr>
              <w:overflowPunct/>
              <w:autoSpaceDE/>
              <w:autoSpaceDN/>
              <w:adjustRightInd/>
              <w:spacing w:after="0"/>
              <w:textAlignment w:val="auto"/>
              <w:rPr>
                <w:rFonts w:ascii="Calibri" w:hAnsi="Calibri"/>
                <w:b/>
                <w:color w:val="000000"/>
                <w:sz w:val="18"/>
                <w:szCs w:val="18"/>
              </w:rPr>
            </w:pPr>
            <w:r w:rsidRPr="001601FD">
              <w:rPr>
                <w:rFonts w:ascii="Calibri" w:hAnsi="Calibri"/>
                <w:b/>
                <w:color w:val="000000"/>
                <w:sz w:val="18"/>
                <w:szCs w:val="18"/>
              </w:rPr>
              <w:t>SU</w:t>
            </w:r>
          </w:p>
        </w:tc>
        <w:tc>
          <w:tcPr>
            <w:tcW w:w="754" w:type="dxa"/>
            <w:tcBorders>
              <w:top w:val="nil"/>
              <w:left w:val="nil"/>
              <w:bottom w:val="single" w:sz="4" w:space="0" w:color="auto"/>
              <w:right w:val="single" w:sz="4" w:space="0" w:color="auto"/>
            </w:tcBorders>
            <w:shd w:val="clear" w:color="auto" w:fill="auto"/>
            <w:noWrap/>
            <w:vAlign w:val="center"/>
            <w:hideMark/>
          </w:tcPr>
          <w:p w14:paraId="314130B6"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5</w:t>
            </w:r>
          </w:p>
        </w:tc>
        <w:tc>
          <w:tcPr>
            <w:tcW w:w="754" w:type="dxa"/>
            <w:tcBorders>
              <w:top w:val="nil"/>
              <w:left w:val="nil"/>
              <w:bottom w:val="single" w:sz="4" w:space="0" w:color="auto"/>
              <w:right w:val="single" w:sz="4" w:space="0" w:color="auto"/>
            </w:tcBorders>
            <w:shd w:val="clear" w:color="auto" w:fill="auto"/>
            <w:noWrap/>
            <w:vAlign w:val="center"/>
            <w:hideMark/>
          </w:tcPr>
          <w:p w14:paraId="2CF68CF6"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10</w:t>
            </w:r>
          </w:p>
        </w:tc>
        <w:tc>
          <w:tcPr>
            <w:tcW w:w="754" w:type="dxa"/>
            <w:tcBorders>
              <w:top w:val="nil"/>
              <w:left w:val="nil"/>
              <w:bottom w:val="single" w:sz="4" w:space="0" w:color="auto"/>
              <w:right w:val="single" w:sz="4" w:space="0" w:color="auto"/>
            </w:tcBorders>
            <w:shd w:val="clear" w:color="auto" w:fill="auto"/>
            <w:noWrap/>
            <w:vAlign w:val="center"/>
            <w:hideMark/>
          </w:tcPr>
          <w:p w14:paraId="098A80DA"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15</w:t>
            </w:r>
          </w:p>
        </w:tc>
        <w:tc>
          <w:tcPr>
            <w:tcW w:w="754" w:type="dxa"/>
            <w:tcBorders>
              <w:top w:val="nil"/>
              <w:left w:val="nil"/>
              <w:bottom w:val="single" w:sz="4" w:space="0" w:color="auto"/>
              <w:right w:val="single" w:sz="4" w:space="0" w:color="auto"/>
            </w:tcBorders>
            <w:shd w:val="clear" w:color="auto" w:fill="auto"/>
            <w:noWrap/>
            <w:vAlign w:val="center"/>
            <w:hideMark/>
          </w:tcPr>
          <w:p w14:paraId="217DE99D"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20</w:t>
            </w:r>
          </w:p>
        </w:tc>
        <w:tc>
          <w:tcPr>
            <w:tcW w:w="754" w:type="dxa"/>
            <w:tcBorders>
              <w:top w:val="nil"/>
              <w:left w:val="nil"/>
              <w:bottom w:val="single" w:sz="4" w:space="0" w:color="auto"/>
              <w:right w:val="single" w:sz="4" w:space="0" w:color="auto"/>
            </w:tcBorders>
            <w:shd w:val="clear" w:color="auto" w:fill="auto"/>
            <w:noWrap/>
            <w:vAlign w:val="center"/>
            <w:hideMark/>
          </w:tcPr>
          <w:p w14:paraId="7677EB46"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25</w:t>
            </w:r>
          </w:p>
        </w:tc>
        <w:tc>
          <w:tcPr>
            <w:tcW w:w="754" w:type="dxa"/>
            <w:tcBorders>
              <w:top w:val="nil"/>
              <w:left w:val="nil"/>
              <w:bottom w:val="single" w:sz="4" w:space="0" w:color="auto"/>
              <w:right w:val="single" w:sz="4" w:space="0" w:color="auto"/>
            </w:tcBorders>
            <w:shd w:val="clear" w:color="auto" w:fill="auto"/>
            <w:noWrap/>
            <w:vAlign w:val="center"/>
            <w:hideMark/>
          </w:tcPr>
          <w:p w14:paraId="7189C1F4"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30</w:t>
            </w:r>
          </w:p>
        </w:tc>
        <w:tc>
          <w:tcPr>
            <w:tcW w:w="754" w:type="dxa"/>
            <w:tcBorders>
              <w:top w:val="nil"/>
              <w:left w:val="nil"/>
              <w:bottom w:val="single" w:sz="4" w:space="0" w:color="auto"/>
              <w:right w:val="single" w:sz="4" w:space="0" w:color="auto"/>
            </w:tcBorders>
            <w:shd w:val="clear" w:color="auto" w:fill="auto"/>
            <w:noWrap/>
            <w:vAlign w:val="center"/>
            <w:hideMark/>
          </w:tcPr>
          <w:p w14:paraId="4CE2B2A3"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40</w:t>
            </w:r>
          </w:p>
        </w:tc>
        <w:tc>
          <w:tcPr>
            <w:tcW w:w="754" w:type="dxa"/>
            <w:tcBorders>
              <w:top w:val="nil"/>
              <w:left w:val="nil"/>
              <w:bottom w:val="single" w:sz="4" w:space="0" w:color="auto"/>
              <w:right w:val="single" w:sz="4" w:space="0" w:color="auto"/>
            </w:tcBorders>
            <w:shd w:val="clear" w:color="auto" w:fill="auto"/>
            <w:noWrap/>
            <w:vAlign w:val="center"/>
            <w:hideMark/>
          </w:tcPr>
          <w:p w14:paraId="2FEC00F1"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50</w:t>
            </w:r>
          </w:p>
        </w:tc>
      </w:tr>
      <w:tr w:rsidR="001601FD" w:rsidRPr="001601FD" w14:paraId="47A02BA3" w14:textId="77777777" w:rsidTr="001601FD">
        <w:trPr>
          <w:trHeight w:val="240"/>
          <w:jc w:val="center"/>
        </w:trPr>
        <w:tc>
          <w:tcPr>
            <w:tcW w:w="589" w:type="dxa"/>
            <w:tcBorders>
              <w:top w:val="nil"/>
              <w:left w:val="single" w:sz="4" w:space="0" w:color="auto"/>
              <w:bottom w:val="single" w:sz="4" w:space="0" w:color="auto"/>
              <w:right w:val="single" w:sz="4" w:space="0" w:color="auto"/>
            </w:tcBorders>
            <w:shd w:val="clear" w:color="auto" w:fill="auto"/>
            <w:noWrap/>
            <w:vAlign w:val="bottom"/>
            <w:hideMark/>
          </w:tcPr>
          <w:p w14:paraId="18CDD7B0" w14:textId="77777777" w:rsidR="001601FD" w:rsidRPr="001601FD" w:rsidRDefault="001601FD" w:rsidP="001601FD">
            <w:pPr>
              <w:overflowPunct/>
              <w:autoSpaceDE/>
              <w:autoSpaceDN/>
              <w:adjustRightInd/>
              <w:spacing w:after="0"/>
              <w:textAlignment w:val="auto"/>
              <w:rPr>
                <w:rFonts w:ascii="Calibri" w:hAnsi="Calibri"/>
                <w:b/>
                <w:color w:val="000000"/>
                <w:sz w:val="18"/>
                <w:szCs w:val="18"/>
              </w:rPr>
            </w:pPr>
            <w:r w:rsidRPr="001601FD">
              <w:rPr>
                <w:rFonts w:ascii="Calibri" w:hAnsi="Calibri"/>
                <w:b/>
                <w:color w:val="000000"/>
                <w:sz w:val="18"/>
                <w:szCs w:val="18"/>
              </w:rPr>
              <w:t>1CC</w:t>
            </w:r>
          </w:p>
        </w:tc>
        <w:tc>
          <w:tcPr>
            <w:tcW w:w="754" w:type="dxa"/>
            <w:tcBorders>
              <w:top w:val="nil"/>
              <w:left w:val="nil"/>
              <w:bottom w:val="single" w:sz="4" w:space="0" w:color="auto"/>
              <w:right w:val="single" w:sz="4" w:space="0" w:color="auto"/>
            </w:tcBorders>
            <w:shd w:val="clear" w:color="auto" w:fill="auto"/>
            <w:noWrap/>
            <w:vAlign w:val="center"/>
            <w:hideMark/>
          </w:tcPr>
          <w:p w14:paraId="2BD84BDD"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90.0%</w:t>
            </w:r>
          </w:p>
        </w:tc>
        <w:tc>
          <w:tcPr>
            <w:tcW w:w="754" w:type="dxa"/>
            <w:tcBorders>
              <w:top w:val="nil"/>
              <w:left w:val="nil"/>
              <w:bottom w:val="single" w:sz="4" w:space="0" w:color="auto"/>
              <w:right w:val="single" w:sz="4" w:space="0" w:color="auto"/>
            </w:tcBorders>
            <w:shd w:val="clear" w:color="auto" w:fill="auto"/>
            <w:noWrap/>
            <w:vAlign w:val="center"/>
            <w:hideMark/>
          </w:tcPr>
          <w:p w14:paraId="23E3175B"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93.6%</w:t>
            </w:r>
          </w:p>
        </w:tc>
        <w:tc>
          <w:tcPr>
            <w:tcW w:w="754" w:type="dxa"/>
            <w:tcBorders>
              <w:top w:val="nil"/>
              <w:left w:val="nil"/>
              <w:bottom w:val="single" w:sz="4" w:space="0" w:color="auto"/>
              <w:right w:val="single" w:sz="4" w:space="0" w:color="auto"/>
            </w:tcBorders>
            <w:shd w:val="clear" w:color="auto" w:fill="auto"/>
            <w:noWrap/>
            <w:vAlign w:val="center"/>
            <w:hideMark/>
          </w:tcPr>
          <w:p w14:paraId="5A03CF21"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94.8%</w:t>
            </w:r>
          </w:p>
        </w:tc>
        <w:tc>
          <w:tcPr>
            <w:tcW w:w="754" w:type="dxa"/>
            <w:tcBorders>
              <w:top w:val="nil"/>
              <w:left w:val="nil"/>
              <w:bottom w:val="single" w:sz="4" w:space="0" w:color="auto"/>
              <w:right w:val="single" w:sz="4" w:space="0" w:color="auto"/>
            </w:tcBorders>
            <w:shd w:val="clear" w:color="auto" w:fill="auto"/>
            <w:noWrap/>
            <w:vAlign w:val="center"/>
            <w:hideMark/>
          </w:tcPr>
          <w:p w14:paraId="5F2E135B"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95.4%</w:t>
            </w:r>
          </w:p>
        </w:tc>
        <w:tc>
          <w:tcPr>
            <w:tcW w:w="754" w:type="dxa"/>
            <w:tcBorders>
              <w:top w:val="nil"/>
              <w:left w:val="nil"/>
              <w:bottom w:val="single" w:sz="4" w:space="0" w:color="auto"/>
              <w:right w:val="single" w:sz="4" w:space="0" w:color="auto"/>
            </w:tcBorders>
            <w:shd w:val="clear" w:color="auto" w:fill="auto"/>
            <w:noWrap/>
            <w:vAlign w:val="center"/>
            <w:hideMark/>
          </w:tcPr>
          <w:p w14:paraId="05A97942"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95.8%</w:t>
            </w:r>
          </w:p>
        </w:tc>
        <w:tc>
          <w:tcPr>
            <w:tcW w:w="754" w:type="dxa"/>
            <w:tcBorders>
              <w:top w:val="nil"/>
              <w:left w:val="nil"/>
              <w:bottom w:val="single" w:sz="4" w:space="0" w:color="auto"/>
              <w:right w:val="single" w:sz="4" w:space="0" w:color="auto"/>
            </w:tcBorders>
            <w:shd w:val="clear" w:color="auto" w:fill="auto"/>
            <w:noWrap/>
            <w:vAlign w:val="center"/>
            <w:hideMark/>
          </w:tcPr>
          <w:p w14:paraId="519D7B5E"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96.0%</w:t>
            </w:r>
          </w:p>
        </w:tc>
        <w:tc>
          <w:tcPr>
            <w:tcW w:w="754" w:type="dxa"/>
            <w:tcBorders>
              <w:top w:val="nil"/>
              <w:left w:val="nil"/>
              <w:bottom w:val="single" w:sz="4" w:space="0" w:color="auto"/>
              <w:right w:val="single" w:sz="4" w:space="0" w:color="auto"/>
            </w:tcBorders>
            <w:shd w:val="clear" w:color="auto" w:fill="auto"/>
            <w:noWrap/>
            <w:vAlign w:val="center"/>
            <w:hideMark/>
          </w:tcPr>
          <w:p w14:paraId="2192AD4D"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97.2%</w:t>
            </w:r>
          </w:p>
        </w:tc>
        <w:tc>
          <w:tcPr>
            <w:tcW w:w="754" w:type="dxa"/>
            <w:tcBorders>
              <w:top w:val="nil"/>
              <w:left w:val="nil"/>
              <w:bottom w:val="single" w:sz="4" w:space="0" w:color="auto"/>
              <w:right w:val="single" w:sz="4" w:space="0" w:color="auto"/>
            </w:tcBorders>
            <w:shd w:val="clear" w:color="auto" w:fill="auto"/>
            <w:noWrap/>
            <w:vAlign w:val="center"/>
            <w:hideMark/>
          </w:tcPr>
          <w:p w14:paraId="130F28E2"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97.2%</w:t>
            </w:r>
          </w:p>
        </w:tc>
      </w:tr>
      <w:tr w:rsidR="001601FD" w:rsidRPr="001601FD" w14:paraId="18CC0F06" w14:textId="77777777" w:rsidTr="001601FD">
        <w:trPr>
          <w:trHeight w:val="240"/>
          <w:jc w:val="center"/>
        </w:trPr>
        <w:tc>
          <w:tcPr>
            <w:tcW w:w="589" w:type="dxa"/>
            <w:tcBorders>
              <w:top w:val="nil"/>
              <w:left w:val="single" w:sz="4" w:space="0" w:color="auto"/>
              <w:bottom w:val="single" w:sz="4" w:space="0" w:color="auto"/>
              <w:right w:val="single" w:sz="4" w:space="0" w:color="auto"/>
            </w:tcBorders>
            <w:shd w:val="clear" w:color="auto" w:fill="auto"/>
            <w:noWrap/>
            <w:vAlign w:val="bottom"/>
            <w:hideMark/>
          </w:tcPr>
          <w:p w14:paraId="66B6D545" w14:textId="77777777" w:rsidR="001601FD" w:rsidRPr="001601FD" w:rsidRDefault="001601FD" w:rsidP="001601FD">
            <w:pPr>
              <w:overflowPunct/>
              <w:autoSpaceDE/>
              <w:autoSpaceDN/>
              <w:adjustRightInd/>
              <w:spacing w:after="0"/>
              <w:textAlignment w:val="auto"/>
              <w:rPr>
                <w:rFonts w:ascii="Calibri" w:hAnsi="Calibri"/>
                <w:b/>
                <w:color w:val="000000"/>
                <w:sz w:val="18"/>
                <w:szCs w:val="18"/>
              </w:rPr>
            </w:pPr>
            <w:r w:rsidRPr="001601FD">
              <w:rPr>
                <w:rFonts w:ascii="Calibri" w:hAnsi="Calibri"/>
                <w:b/>
                <w:color w:val="000000"/>
                <w:sz w:val="18"/>
                <w:szCs w:val="18"/>
              </w:rPr>
              <w:t>2CC</w:t>
            </w:r>
          </w:p>
        </w:tc>
        <w:tc>
          <w:tcPr>
            <w:tcW w:w="754" w:type="dxa"/>
            <w:tcBorders>
              <w:top w:val="nil"/>
              <w:left w:val="nil"/>
              <w:bottom w:val="single" w:sz="4" w:space="0" w:color="auto"/>
              <w:right w:val="single" w:sz="4" w:space="0" w:color="auto"/>
            </w:tcBorders>
            <w:shd w:val="clear" w:color="auto" w:fill="auto"/>
            <w:noWrap/>
            <w:vAlign w:val="center"/>
            <w:hideMark/>
          </w:tcPr>
          <w:p w14:paraId="0F2095BB"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95.2%</w:t>
            </w:r>
          </w:p>
        </w:tc>
        <w:tc>
          <w:tcPr>
            <w:tcW w:w="754" w:type="dxa"/>
            <w:tcBorders>
              <w:top w:val="nil"/>
              <w:left w:val="nil"/>
              <w:bottom w:val="single" w:sz="4" w:space="0" w:color="auto"/>
              <w:right w:val="single" w:sz="4" w:space="0" w:color="auto"/>
            </w:tcBorders>
            <w:shd w:val="clear" w:color="auto" w:fill="auto"/>
            <w:noWrap/>
            <w:vAlign w:val="center"/>
            <w:hideMark/>
          </w:tcPr>
          <w:p w14:paraId="701CDC5B"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96.9%</w:t>
            </w:r>
          </w:p>
        </w:tc>
        <w:tc>
          <w:tcPr>
            <w:tcW w:w="754" w:type="dxa"/>
            <w:tcBorders>
              <w:top w:val="nil"/>
              <w:left w:val="nil"/>
              <w:bottom w:val="single" w:sz="4" w:space="0" w:color="auto"/>
              <w:right w:val="single" w:sz="4" w:space="0" w:color="auto"/>
            </w:tcBorders>
            <w:shd w:val="clear" w:color="auto" w:fill="auto"/>
            <w:noWrap/>
            <w:vAlign w:val="center"/>
            <w:hideMark/>
          </w:tcPr>
          <w:p w14:paraId="1E3E7C75"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97.5%</w:t>
            </w:r>
          </w:p>
        </w:tc>
        <w:tc>
          <w:tcPr>
            <w:tcW w:w="754" w:type="dxa"/>
            <w:tcBorders>
              <w:top w:val="nil"/>
              <w:left w:val="nil"/>
              <w:bottom w:val="single" w:sz="4" w:space="0" w:color="auto"/>
              <w:right w:val="single" w:sz="4" w:space="0" w:color="auto"/>
            </w:tcBorders>
            <w:shd w:val="clear" w:color="auto" w:fill="auto"/>
            <w:noWrap/>
            <w:vAlign w:val="center"/>
            <w:hideMark/>
          </w:tcPr>
          <w:p w14:paraId="5E394F79"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97.7%</w:t>
            </w:r>
          </w:p>
        </w:tc>
        <w:tc>
          <w:tcPr>
            <w:tcW w:w="754" w:type="dxa"/>
            <w:tcBorders>
              <w:top w:val="nil"/>
              <w:left w:val="nil"/>
              <w:bottom w:val="single" w:sz="4" w:space="0" w:color="auto"/>
              <w:right w:val="single" w:sz="4" w:space="0" w:color="auto"/>
            </w:tcBorders>
            <w:shd w:val="clear" w:color="auto" w:fill="auto"/>
            <w:noWrap/>
            <w:vAlign w:val="center"/>
            <w:hideMark/>
          </w:tcPr>
          <w:p w14:paraId="57AAACEC"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97.9%</w:t>
            </w:r>
          </w:p>
        </w:tc>
        <w:tc>
          <w:tcPr>
            <w:tcW w:w="754" w:type="dxa"/>
            <w:tcBorders>
              <w:top w:val="nil"/>
              <w:left w:val="nil"/>
              <w:bottom w:val="single" w:sz="4" w:space="0" w:color="auto"/>
              <w:right w:val="single" w:sz="4" w:space="0" w:color="auto"/>
            </w:tcBorders>
            <w:shd w:val="clear" w:color="auto" w:fill="auto"/>
            <w:noWrap/>
            <w:vAlign w:val="center"/>
            <w:hideMark/>
          </w:tcPr>
          <w:p w14:paraId="49B8BD04"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98.0%</w:t>
            </w:r>
          </w:p>
        </w:tc>
        <w:tc>
          <w:tcPr>
            <w:tcW w:w="754" w:type="dxa"/>
            <w:tcBorders>
              <w:top w:val="nil"/>
              <w:left w:val="nil"/>
              <w:bottom w:val="single" w:sz="4" w:space="0" w:color="auto"/>
              <w:right w:val="single" w:sz="4" w:space="0" w:color="auto"/>
            </w:tcBorders>
            <w:shd w:val="clear" w:color="auto" w:fill="auto"/>
            <w:noWrap/>
            <w:vAlign w:val="center"/>
            <w:hideMark/>
          </w:tcPr>
          <w:p w14:paraId="4F380FC7"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98.6%</w:t>
            </w:r>
          </w:p>
        </w:tc>
        <w:tc>
          <w:tcPr>
            <w:tcW w:w="754" w:type="dxa"/>
            <w:tcBorders>
              <w:top w:val="nil"/>
              <w:left w:val="nil"/>
              <w:bottom w:val="single" w:sz="4" w:space="0" w:color="auto"/>
              <w:right w:val="single" w:sz="4" w:space="0" w:color="auto"/>
            </w:tcBorders>
            <w:shd w:val="clear" w:color="auto" w:fill="auto"/>
            <w:noWrap/>
            <w:vAlign w:val="center"/>
            <w:hideMark/>
          </w:tcPr>
          <w:p w14:paraId="34C23084"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98.6%</w:t>
            </w:r>
          </w:p>
        </w:tc>
      </w:tr>
      <w:tr w:rsidR="001601FD" w:rsidRPr="001601FD" w14:paraId="2BB861C7" w14:textId="77777777" w:rsidTr="001601FD">
        <w:trPr>
          <w:trHeight w:val="240"/>
          <w:jc w:val="center"/>
        </w:trPr>
        <w:tc>
          <w:tcPr>
            <w:tcW w:w="589" w:type="dxa"/>
            <w:tcBorders>
              <w:top w:val="nil"/>
              <w:left w:val="nil"/>
              <w:bottom w:val="nil"/>
              <w:right w:val="nil"/>
            </w:tcBorders>
            <w:shd w:val="clear" w:color="auto" w:fill="auto"/>
            <w:noWrap/>
            <w:vAlign w:val="bottom"/>
            <w:hideMark/>
          </w:tcPr>
          <w:p w14:paraId="67690F33" w14:textId="77777777" w:rsidR="001601FD" w:rsidRPr="001601FD" w:rsidRDefault="001601FD" w:rsidP="001601FD">
            <w:pPr>
              <w:overflowPunct/>
              <w:autoSpaceDE/>
              <w:autoSpaceDN/>
              <w:adjustRightInd/>
              <w:spacing w:after="0"/>
              <w:textAlignment w:val="auto"/>
              <w:rPr>
                <w:rFonts w:ascii="Calibri" w:hAnsi="Calibri"/>
                <w:color w:val="000000"/>
                <w:sz w:val="18"/>
                <w:szCs w:val="18"/>
              </w:rPr>
            </w:pPr>
          </w:p>
        </w:tc>
        <w:tc>
          <w:tcPr>
            <w:tcW w:w="30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9164E" w14:textId="77777777" w:rsidR="001601FD" w:rsidRPr="001601FD" w:rsidRDefault="001601FD" w:rsidP="001601FD">
            <w:pPr>
              <w:overflowPunct/>
              <w:autoSpaceDE/>
              <w:autoSpaceDN/>
              <w:adjustRightInd/>
              <w:spacing w:after="0"/>
              <w:jc w:val="center"/>
              <w:textAlignment w:val="auto"/>
              <w:rPr>
                <w:rFonts w:ascii="Calibri" w:hAnsi="Calibri"/>
                <w:b/>
                <w:color w:val="000000"/>
                <w:sz w:val="18"/>
                <w:szCs w:val="18"/>
              </w:rPr>
            </w:pPr>
            <w:r w:rsidRPr="001601FD">
              <w:rPr>
                <w:rFonts w:ascii="Calibri" w:hAnsi="Calibri"/>
                <w:b/>
                <w:color w:val="000000"/>
                <w:sz w:val="18"/>
                <w:szCs w:val="18"/>
              </w:rPr>
              <w:t>FR1Channel BW [MHz]</w:t>
            </w:r>
          </w:p>
        </w:tc>
        <w:tc>
          <w:tcPr>
            <w:tcW w:w="3016" w:type="dxa"/>
            <w:gridSpan w:val="4"/>
            <w:tcBorders>
              <w:top w:val="single" w:sz="4" w:space="0" w:color="auto"/>
              <w:left w:val="nil"/>
              <w:bottom w:val="single" w:sz="4" w:space="0" w:color="auto"/>
              <w:right w:val="single" w:sz="4" w:space="0" w:color="auto"/>
            </w:tcBorders>
            <w:shd w:val="clear" w:color="auto" w:fill="auto"/>
            <w:noWrap/>
            <w:vAlign w:val="center"/>
            <w:hideMark/>
          </w:tcPr>
          <w:p w14:paraId="7459950F" w14:textId="4376EB09"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b/>
                <w:color w:val="000000"/>
                <w:sz w:val="18"/>
                <w:szCs w:val="18"/>
              </w:rPr>
              <w:t>FR2 Channel BW [MHz</w:t>
            </w:r>
            <w:r w:rsidRPr="001601FD">
              <w:rPr>
                <w:rFonts w:ascii="Calibri" w:hAnsi="Calibri"/>
                <w:color w:val="000000"/>
                <w:sz w:val="18"/>
                <w:szCs w:val="18"/>
              </w:rPr>
              <w:t>]</w:t>
            </w:r>
          </w:p>
        </w:tc>
      </w:tr>
      <w:tr w:rsidR="001601FD" w:rsidRPr="001601FD" w14:paraId="2D841BBF" w14:textId="77777777" w:rsidTr="001601FD">
        <w:trPr>
          <w:trHeight w:val="240"/>
          <w:jc w:val="center"/>
        </w:trPr>
        <w:tc>
          <w:tcPr>
            <w:tcW w:w="5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8BD68C" w14:textId="77777777" w:rsidR="001601FD" w:rsidRPr="001601FD" w:rsidRDefault="001601FD" w:rsidP="001601FD">
            <w:pPr>
              <w:overflowPunct/>
              <w:autoSpaceDE/>
              <w:autoSpaceDN/>
              <w:adjustRightInd/>
              <w:spacing w:after="0"/>
              <w:textAlignment w:val="auto"/>
              <w:rPr>
                <w:rFonts w:ascii="Calibri" w:hAnsi="Calibri"/>
                <w:b/>
                <w:color w:val="000000"/>
                <w:sz w:val="18"/>
                <w:szCs w:val="18"/>
              </w:rPr>
            </w:pPr>
            <w:r w:rsidRPr="001601FD">
              <w:rPr>
                <w:rFonts w:ascii="Calibri" w:hAnsi="Calibri"/>
                <w:b/>
                <w:color w:val="000000"/>
                <w:sz w:val="18"/>
                <w:szCs w:val="18"/>
              </w:rPr>
              <w:t>SU</w:t>
            </w:r>
          </w:p>
        </w:tc>
        <w:tc>
          <w:tcPr>
            <w:tcW w:w="754" w:type="dxa"/>
            <w:tcBorders>
              <w:top w:val="nil"/>
              <w:left w:val="nil"/>
              <w:bottom w:val="single" w:sz="4" w:space="0" w:color="auto"/>
              <w:right w:val="single" w:sz="4" w:space="0" w:color="auto"/>
            </w:tcBorders>
            <w:shd w:val="clear" w:color="auto" w:fill="auto"/>
            <w:noWrap/>
            <w:vAlign w:val="center"/>
            <w:hideMark/>
          </w:tcPr>
          <w:p w14:paraId="1EB2AF19"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60</w:t>
            </w:r>
          </w:p>
        </w:tc>
        <w:tc>
          <w:tcPr>
            <w:tcW w:w="754" w:type="dxa"/>
            <w:tcBorders>
              <w:top w:val="nil"/>
              <w:left w:val="nil"/>
              <w:bottom w:val="single" w:sz="4" w:space="0" w:color="auto"/>
              <w:right w:val="single" w:sz="4" w:space="0" w:color="auto"/>
            </w:tcBorders>
            <w:shd w:val="clear" w:color="auto" w:fill="auto"/>
            <w:noWrap/>
            <w:vAlign w:val="center"/>
            <w:hideMark/>
          </w:tcPr>
          <w:p w14:paraId="47F41DAF"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80</w:t>
            </w:r>
          </w:p>
        </w:tc>
        <w:tc>
          <w:tcPr>
            <w:tcW w:w="754" w:type="dxa"/>
            <w:tcBorders>
              <w:top w:val="nil"/>
              <w:left w:val="nil"/>
              <w:bottom w:val="single" w:sz="4" w:space="0" w:color="auto"/>
              <w:right w:val="single" w:sz="4" w:space="0" w:color="auto"/>
            </w:tcBorders>
            <w:shd w:val="clear" w:color="auto" w:fill="auto"/>
            <w:noWrap/>
            <w:vAlign w:val="center"/>
            <w:hideMark/>
          </w:tcPr>
          <w:p w14:paraId="7B23A6FA"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90</w:t>
            </w:r>
          </w:p>
        </w:tc>
        <w:tc>
          <w:tcPr>
            <w:tcW w:w="754" w:type="dxa"/>
            <w:tcBorders>
              <w:top w:val="nil"/>
              <w:left w:val="nil"/>
              <w:bottom w:val="single" w:sz="4" w:space="0" w:color="auto"/>
              <w:right w:val="single" w:sz="4" w:space="0" w:color="auto"/>
            </w:tcBorders>
            <w:shd w:val="clear" w:color="auto" w:fill="auto"/>
            <w:noWrap/>
            <w:vAlign w:val="center"/>
            <w:hideMark/>
          </w:tcPr>
          <w:p w14:paraId="21C9ADF2"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100</w:t>
            </w:r>
          </w:p>
        </w:tc>
        <w:tc>
          <w:tcPr>
            <w:tcW w:w="754" w:type="dxa"/>
            <w:tcBorders>
              <w:top w:val="nil"/>
              <w:left w:val="nil"/>
              <w:bottom w:val="single" w:sz="4" w:space="0" w:color="auto"/>
              <w:right w:val="single" w:sz="4" w:space="0" w:color="auto"/>
            </w:tcBorders>
            <w:shd w:val="clear" w:color="auto" w:fill="auto"/>
            <w:noWrap/>
            <w:vAlign w:val="center"/>
            <w:hideMark/>
          </w:tcPr>
          <w:p w14:paraId="5122F0C2"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50</w:t>
            </w:r>
          </w:p>
        </w:tc>
        <w:tc>
          <w:tcPr>
            <w:tcW w:w="754" w:type="dxa"/>
            <w:tcBorders>
              <w:top w:val="nil"/>
              <w:left w:val="nil"/>
              <w:bottom w:val="single" w:sz="4" w:space="0" w:color="auto"/>
              <w:right w:val="single" w:sz="4" w:space="0" w:color="auto"/>
            </w:tcBorders>
            <w:shd w:val="clear" w:color="auto" w:fill="auto"/>
            <w:noWrap/>
            <w:vAlign w:val="center"/>
            <w:hideMark/>
          </w:tcPr>
          <w:p w14:paraId="447B2622"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100</w:t>
            </w:r>
          </w:p>
        </w:tc>
        <w:tc>
          <w:tcPr>
            <w:tcW w:w="754" w:type="dxa"/>
            <w:tcBorders>
              <w:top w:val="nil"/>
              <w:left w:val="nil"/>
              <w:bottom w:val="single" w:sz="4" w:space="0" w:color="auto"/>
              <w:right w:val="single" w:sz="4" w:space="0" w:color="auto"/>
            </w:tcBorders>
            <w:shd w:val="clear" w:color="auto" w:fill="auto"/>
            <w:noWrap/>
            <w:vAlign w:val="center"/>
            <w:hideMark/>
          </w:tcPr>
          <w:p w14:paraId="4372B028"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200</w:t>
            </w:r>
          </w:p>
        </w:tc>
        <w:tc>
          <w:tcPr>
            <w:tcW w:w="754" w:type="dxa"/>
            <w:tcBorders>
              <w:top w:val="nil"/>
              <w:left w:val="nil"/>
              <w:bottom w:val="single" w:sz="4" w:space="0" w:color="auto"/>
              <w:right w:val="single" w:sz="4" w:space="0" w:color="auto"/>
            </w:tcBorders>
            <w:shd w:val="clear" w:color="auto" w:fill="auto"/>
            <w:noWrap/>
            <w:vAlign w:val="center"/>
            <w:hideMark/>
          </w:tcPr>
          <w:p w14:paraId="21DCC527"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400</w:t>
            </w:r>
          </w:p>
        </w:tc>
      </w:tr>
      <w:tr w:rsidR="001601FD" w:rsidRPr="001601FD" w14:paraId="0A1BF493" w14:textId="77777777" w:rsidTr="001601FD">
        <w:trPr>
          <w:trHeight w:val="240"/>
          <w:jc w:val="center"/>
        </w:trPr>
        <w:tc>
          <w:tcPr>
            <w:tcW w:w="589" w:type="dxa"/>
            <w:tcBorders>
              <w:top w:val="nil"/>
              <w:left w:val="single" w:sz="4" w:space="0" w:color="auto"/>
              <w:bottom w:val="single" w:sz="4" w:space="0" w:color="auto"/>
              <w:right w:val="single" w:sz="4" w:space="0" w:color="auto"/>
            </w:tcBorders>
            <w:shd w:val="clear" w:color="auto" w:fill="auto"/>
            <w:noWrap/>
            <w:vAlign w:val="bottom"/>
            <w:hideMark/>
          </w:tcPr>
          <w:p w14:paraId="4029392A" w14:textId="77777777" w:rsidR="001601FD" w:rsidRPr="001601FD" w:rsidRDefault="001601FD" w:rsidP="001601FD">
            <w:pPr>
              <w:overflowPunct/>
              <w:autoSpaceDE/>
              <w:autoSpaceDN/>
              <w:adjustRightInd/>
              <w:spacing w:after="0"/>
              <w:textAlignment w:val="auto"/>
              <w:rPr>
                <w:rFonts w:ascii="Calibri" w:hAnsi="Calibri"/>
                <w:b/>
                <w:color w:val="000000"/>
                <w:sz w:val="18"/>
                <w:szCs w:val="18"/>
              </w:rPr>
            </w:pPr>
            <w:r w:rsidRPr="001601FD">
              <w:rPr>
                <w:rFonts w:ascii="Calibri" w:hAnsi="Calibri"/>
                <w:b/>
                <w:color w:val="000000"/>
                <w:sz w:val="18"/>
                <w:szCs w:val="18"/>
              </w:rPr>
              <w:t>1CC</w:t>
            </w:r>
          </w:p>
        </w:tc>
        <w:tc>
          <w:tcPr>
            <w:tcW w:w="754" w:type="dxa"/>
            <w:tcBorders>
              <w:top w:val="nil"/>
              <w:left w:val="nil"/>
              <w:bottom w:val="single" w:sz="4" w:space="0" w:color="auto"/>
              <w:right w:val="single" w:sz="4" w:space="0" w:color="auto"/>
            </w:tcBorders>
            <w:shd w:val="clear" w:color="auto" w:fill="auto"/>
            <w:noWrap/>
            <w:vAlign w:val="center"/>
            <w:hideMark/>
          </w:tcPr>
          <w:p w14:paraId="0882E4BE"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97.2%</w:t>
            </w:r>
          </w:p>
        </w:tc>
        <w:tc>
          <w:tcPr>
            <w:tcW w:w="754" w:type="dxa"/>
            <w:tcBorders>
              <w:top w:val="nil"/>
              <w:left w:val="nil"/>
              <w:bottom w:val="single" w:sz="4" w:space="0" w:color="auto"/>
              <w:right w:val="single" w:sz="4" w:space="0" w:color="auto"/>
            </w:tcBorders>
            <w:shd w:val="clear" w:color="auto" w:fill="auto"/>
            <w:noWrap/>
            <w:vAlign w:val="center"/>
            <w:hideMark/>
          </w:tcPr>
          <w:p w14:paraId="208DF064"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97.7%</w:t>
            </w:r>
          </w:p>
        </w:tc>
        <w:tc>
          <w:tcPr>
            <w:tcW w:w="754" w:type="dxa"/>
            <w:tcBorders>
              <w:top w:val="nil"/>
              <w:left w:val="nil"/>
              <w:bottom w:val="single" w:sz="4" w:space="0" w:color="auto"/>
              <w:right w:val="single" w:sz="4" w:space="0" w:color="auto"/>
            </w:tcBorders>
            <w:shd w:val="clear" w:color="auto" w:fill="auto"/>
            <w:noWrap/>
            <w:vAlign w:val="center"/>
            <w:hideMark/>
          </w:tcPr>
          <w:p w14:paraId="004BFBFB"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98.0%</w:t>
            </w:r>
          </w:p>
        </w:tc>
        <w:tc>
          <w:tcPr>
            <w:tcW w:w="754" w:type="dxa"/>
            <w:tcBorders>
              <w:top w:val="nil"/>
              <w:left w:val="nil"/>
              <w:bottom w:val="single" w:sz="4" w:space="0" w:color="auto"/>
              <w:right w:val="single" w:sz="4" w:space="0" w:color="auto"/>
            </w:tcBorders>
            <w:shd w:val="clear" w:color="auto" w:fill="auto"/>
            <w:noWrap/>
            <w:vAlign w:val="center"/>
            <w:hideMark/>
          </w:tcPr>
          <w:p w14:paraId="7E0E82E1"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98.3%</w:t>
            </w:r>
          </w:p>
        </w:tc>
        <w:tc>
          <w:tcPr>
            <w:tcW w:w="754" w:type="dxa"/>
            <w:tcBorders>
              <w:top w:val="nil"/>
              <w:left w:val="nil"/>
              <w:bottom w:val="single" w:sz="4" w:space="0" w:color="auto"/>
              <w:right w:val="single" w:sz="4" w:space="0" w:color="auto"/>
            </w:tcBorders>
            <w:shd w:val="clear" w:color="auto" w:fill="auto"/>
            <w:noWrap/>
            <w:vAlign w:val="center"/>
            <w:hideMark/>
          </w:tcPr>
          <w:p w14:paraId="0DBFE283"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95.0%</w:t>
            </w:r>
          </w:p>
        </w:tc>
        <w:tc>
          <w:tcPr>
            <w:tcW w:w="754" w:type="dxa"/>
            <w:tcBorders>
              <w:top w:val="nil"/>
              <w:left w:val="nil"/>
              <w:bottom w:val="single" w:sz="4" w:space="0" w:color="auto"/>
              <w:right w:val="single" w:sz="4" w:space="0" w:color="auto"/>
            </w:tcBorders>
            <w:shd w:val="clear" w:color="auto" w:fill="auto"/>
            <w:noWrap/>
            <w:vAlign w:val="center"/>
            <w:hideMark/>
          </w:tcPr>
          <w:p w14:paraId="15616554"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95.0%</w:t>
            </w:r>
          </w:p>
        </w:tc>
        <w:tc>
          <w:tcPr>
            <w:tcW w:w="754" w:type="dxa"/>
            <w:tcBorders>
              <w:top w:val="nil"/>
              <w:left w:val="nil"/>
              <w:bottom w:val="single" w:sz="4" w:space="0" w:color="auto"/>
              <w:right w:val="single" w:sz="4" w:space="0" w:color="auto"/>
            </w:tcBorders>
            <w:shd w:val="clear" w:color="auto" w:fill="auto"/>
            <w:noWrap/>
            <w:vAlign w:val="center"/>
            <w:hideMark/>
          </w:tcPr>
          <w:p w14:paraId="547901A9"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95.0%</w:t>
            </w:r>
          </w:p>
        </w:tc>
        <w:tc>
          <w:tcPr>
            <w:tcW w:w="754" w:type="dxa"/>
            <w:tcBorders>
              <w:top w:val="nil"/>
              <w:left w:val="nil"/>
              <w:bottom w:val="single" w:sz="4" w:space="0" w:color="auto"/>
              <w:right w:val="single" w:sz="4" w:space="0" w:color="auto"/>
            </w:tcBorders>
            <w:shd w:val="clear" w:color="auto" w:fill="auto"/>
            <w:noWrap/>
            <w:vAlign w:val="center"/>
            <w:hideMark/>
          </w:tcPr>
          <w:p w14:paraId="4141886F"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95.0%</w:t>
            </w:r>
          </w:p>
        </w:tc>
      </w:tr>
      <w:tr w:rsidR="001601FD" w:rsidRPr="001601FD" w14:paraId="0384E26A" w14:textId="77777777" w:rsidTr="001601FD">
        <w:trPr>
          <w:trHeight w:val="240"/>
          <w:jc w:val="center"/>
        </w:trPr>
        <w:tc>
          <w:tcPr>
            <w:tcW w:w="589" w:type="dxa"/>
            <w:tcBorders>
              <w:top w:val="nil"/>
              <w:left w:val="single" w:sz="4" w:space="0" w:color="auto"/>
              <w:bottom w:val="single" w:sz="4" w:space="0" w:color="auto"/>
              <w:right w:val="single" w:sz="4" w:space="0" w:color="auto"/>
            </w:tcBorders>
            <w:shd w:val="clear" w:color="auto" w:fill="auto"/>
            <w:noWrap/>
            <w:vAlign w:val="bottom"/>
            <w:hideMark/>
          </w:tcPr>
          <w:p w14:paraId="6D82749B" w14:textId="77777777" w:rsidR="001601FD" w:rsidRPr="001601FD" w:rsidRDefault="001601FD" w:rsidP="001601FD">
            <w:pPr>
              <w:overflowPunct/>
              <w:autoSpaceDE/>
              <w:autoSpaceDN/>
              <w:adjustRightInd/>
              <w:spacing w:after="0"/>
              <w:textAlignment w:val="auto"/>
              <w:rPr>
                <w:rFonts w:ascii="Calibri" w:hAnsi="Calibri"/>
                <w:b/>
                <w:color w:val="000000"/>
                <w:sz w:val="18"/>
                <w:szCs w:val="18"/>
              </w:rPr>
            </w:pPr>
            <w:r w:rsidRPr="001601FD">
              <w:rPr>
                <w:rFonts w:ascii="Calibri" w:hAnsi="Calibri"/>
                <w:b/>
                <w:color w:val="000000"/>
                <w:sz w:val="18"/>
                <w:szCs w:val="18"/>
              </w:rPr>
              <w:t>2CC</w:t>
            </w:r>
          </w:p>
        </w:tc>
        <w:tc>
          <w:tcPr>
            <w:tcW w:w="754" w:type="dxa"/>
            <w:tcBorders>
              <w:top w:val="nil"/>
              <w:left w:val="nil"/>
              <w:bottom w:val="single" w:sz="4" w:space="0" w:color="auto"/>
              <w:right w:val="single" w:sz="4" w:space="0" w:color="auto"/>
            </w:tcBorders>
            <w:shd w:val="clear" w:color="auto" w:fill="auto"/>
            <w:noWrap/>
            <w:vAlign w:val="center"/>
            <w:hideMark/>
          </w:tcPr>
          <w:p w14:paraId="40C049E8"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98.6%</w:t>
            </w:r>
          </w:p>
        </w:tc>
        <w:tc>
          <w:tcPr>
            <w:tcW w:w="754" w:type="dxa"/>
            <w:tcBorders>
              <w:top w:val="nil"/>
              <w:left w:val="nil"/>
              <w:bottom w:val="single" w:sz="4" w:space="0" w:color="auto"/>
              <w:right w:val="single" w:sz="4" w:space="0" w:color="auto"/>
            </w:tcBorders>
            <w:shd w:val="clear" w:color="auto" w:fill="auto"/>
            <w:noWrap/>
            <w:vAlign w:val="center"/>
            <w:hideMark/>
          </w:tcPr>
          <w:p w14:paraId="2BE01CD4"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98.8%</w:t>
            </w:r>
          </w:p>
        </w:tc>
        <w:tc>
          <w:tcPr>
            <w:tcW w:w="754" w:type="dxa"/>
            <w:tcBorders>
              <w:top w:val="nil"/>
              <w:left w:val="nil"/>
              <w:bottom w:val="single" w:sz="4" w:space="0" w:color="auto"/>
              <w:right w:val="single" w:sz="4" w:space="0" w:color="auto"/>
            </w:tcBorders>
            <w:shd w:val="clear" w:color="auto" w:fill="auto"/>
            <w:noWrap/>
            <w:vAlign w:val="center"/>
            <w:hideMark/>
          </w:tcPr>
          <w:p w14:paraId="4FBEB8CC"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99.0%</w:t>
            </w:r>
          </w:p>
        </w:tc>
        <w:tc>
          <w:tcPr>
            <w:tcW w:w="754" w:type="dxa"/>
            <w:tcBorders>
              <w:top w:val="nil"/>
              <w:left w:val="nil"/>
              <w:bottom w:val="single" w:sz="4" w:space="0" w:color="auto"/>
              <w:right w:val="single" w:sz="4" w:space="0" w:color="auto"/>
            </w:tcBorders>
            <w:shd w:val="clear" w:color="auto" w:fill="auto"/>
            <w:noWrap/>
            <w:vAlign w:val="center"/>
            <w:hideMark/>
          </w:tcPr>
          <w:p w14:paraId="62C44465"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99.2%</w:t>
            </w:r>
          </w:p>
        </w:tc>
        <w:tc>
          <w:tcPr>
            <w:tcW w:w="754" w:type="dxa"/>
            <w:tcBorders>
              <w:top w:val="nil"/>
              <w:left w:val="nil"/>
              <w:bottom w:val="single" w:sz="4" w:space="0" w:color="auto"/>
              <w:right w:val="single" w:sz="4" w:space="0" w:color="auto"/>
            </w:tcBorders>
            <w:shd w:val="clear" w:color="auto" w:fill="auto"/>
            <w:noWrap/>
            <w:vAlign w:val="center"/>
            <w:hideMark/>
          </w:tcPr>
          <w:p w14:paraId="1E80D22D"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97.6%</w:t>
            </w:r>
          </w:p>
        </w:tc>
        <w:tc>
          <w:tcPr>
            <w:tcW w:w="754" w:type="dxa"/>
            <w:tcBorders>
              <w:top w:val="nil"/>
              <w:left w:val="nil"/>
              <w:bottom w:val="single" w:sz="4" w:space="0" w:color="auto"/>
              <w:right w:val="single" w:sz="4" w:space="0" w:color="auto"/>
            </w:tcBorders>
            <w:shd w:val="clear" w:color="auto" w:fill="auto"/>
            <w:noWrap/>
            <w:vAlign w:val="center"/>
            <w:hideMark/>
          </w:tcPr>
          <w:p w14:paraId="4F0BC903"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97.6%</w:t>
            </w:r>
          </w:p>
        </w:tc>
        <w:tc>
          <w:tcPr>
            <w:tcW w:w="754" w:type="dxa"/>
            <w:tcBorders>
              <w:top w:val="nil"/>
              <w:left w:val="nil"/>
              <w:bottom w:val="single" w:sz="4" w:space="0" w:color="auto"/>
              <w:right w:val="single" w:sz="4" w:space="0" w:color="auto"/>
            </w:tcBorders>
            <w:shd w:val="clear" w:color="auto" w:fill="auto"/>
            <w:noWrap/>
            <w:vAlign w:val="center"/>
            <w:hideMark/>
          </w:tcPr>
          <w:p w14:paraId="122B4891"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97.6%</w:t>
            </w:r>
          </w:p>
        </w:tc>
        <w:tc>
          <w:tcPr>
            <w:tcW w:w="754" w:type="dxa"/>
            <w:tcBorders>
              <w:top w:val="nil"/>
              <w:left w:val="nil"/>
              <w:bottom w:val="single" w:sz="4" w:space="0" w:color="auto"/>
              <w:right w:val="single" w:sz="4" w:space="0" w:color="auto"/>
            </w:tcBorders>
            <w:shd w:val="clear" w:color="auto" w:fill="auto"/>
            <w:noWrap/>
            <w:vAlign w:val="center"/>
            <w:hideMark/>
          </w:tcPr>
          <w:p w14:paraId="218B994D" w14:textId="77777777" w:rsidR="001601FD" w:rsidRPr="001601FD" w:rsidRDefault="001601FD" w:rsidP="001601FD">
            <w:pPr>
              <w:overflowPunct/>
              <w:autoSpaceDE/>
              <w:autoSpaceDN/>
              <w:adjustRightInd/>
              <w:spacing w:after="0"/>
              <w:jc w:val="center"/>
              <w:textAlignment w:val="auto"/>
              <w:rPr>
                <w:rFonts w:ascii="Calibri" w:hAnsi="Calibri"/>
                <w:color w:val="000000"/>
                <w:sz w:val="18"/>
                <w:szCs w:val="18"/>
              </w:rPr>
            </w:pPr>
            <w:r w:rsidRPr="001601FD">
              <w:rPr>
                <w:rFonts w:ascii="Calibri" w:hAnsi="Calibri"/>
                <w:color w:val="000000"/>
                <w:sz w:val="18"/>
                <w:szCs w:val="18"/>
              </w:rPr>
              <w:t>97.5%</w:t>
            </w:r>
          </w:p>
        </w:tc>
      </w:tr>
    </w:tbl>
    <w:p w14:paraId="3A62C6EC" w14:textId="77777777" w:rsidR="004862EF" w:rsidRDefault="004862EF" w:rsidP="004862EF">
      <w:pPr>
        <w:spacing w:after="0"/>
        <w:rPr>
          <w:lang w:val="en-GB"/>
        </w:rPr>
      </w:pPr>
    </w:p>
    <w:p w14:paraId="6E007FE5" w14:textId="234F95C6" w:rsidR="00F373B3" w:rsidRDefault="001601FD" w:rsidP="006202F7">
      <w:pPr>
        <w:rPr>
          <w:lang w:val="en-GB"/>
        </w:rPr>
      </w:pPr>
      <w:r>
        <w:rPr>
          <w:lang w:val="en-GB"/>
        </w:rPr>
        <w:t xml:space="preserve">As can be </w:t>
      </w:r>
      <w:r w:rsidR="004862EF">
        <w:rPr>
          <w:lang w:val="en-GB"/>
        </w:rPr>
        <w:t>observed</w:t>
      </w:r>
      <w:r>
        <w:rPr>
          <w:lang w:val="en-GB"/>
        </w:rPr>
        <w:t xml:space="preserve"> from this table the aggregated channel SU is larger than for a single CC and reaches up to 99%, as a result it is proposed that the measurements bandwidths for NR contiguous UL CA uses 100% aggregated BW for wanted signal and 99% aggregated BW for the adjacent channel for FR1. For FR2 98% BW could be used for both wanted and adjacent measurement bandwidths.</w:t>
      </w:r>
    </w:p>
    <w:p w14:paraId="0A020871" w14:textId="38DAA6BB" w:rsidR="00A83CDD" w:rsidRPr="006202F7" w:rsidRDefault="00A83CDD" w:rsidP="006202F7">
      <w:pPr>
        <w:rPr>
          <w:lang w:val="en-GB"/>
        </w:rPr>
      </w:pPr>
      <w:r>
        <w:rPr>
          <w:lang w:val="en-GB"/>
        </w:rPr>
        <w:t>For LTE and ENDC the in-band emissions and EVM are evaluated with a single CC active to avoid issues with images and IMDs falling onto the CCs. It is proposed that this approach is appropriate for QPSK and 16QAM but further studies may be needed for higher order modulations. This is important to enable lowest back-off for inner allocations as defined in [1]</w:t>
      </w:r>
    </w:p>
    <w:p w14:paraId="3664AED8" w14:textId="501352D0" w:rsidR="0008501B" w:rsidRPr="003C7320" w:rsidRDefault="001601FD" w:rsidP="0008501B">
      <w:pPr>
        <w:tabs>
          <w:tab w:val="left" w:pos="5103"/>
        </w:tabs>
        <w:spacing w:after="0"/>
        <w:jc w:val="both"/>
        <w:rPr>
          <w:b/>
        </w:rPr>
      </w:pPr>
      <w:r>
        <w:rPr>
          <w:b/>
        </w:rPr>
        <w:t>Proposal 2</w:t>
      </w:r>
      <w:r w:rsidR="00A83CDD">
        <w:rPr>
          <w:b/>
        </w:rPr>
        <w:t xml:space="preserve"> for </w:t>
      </w:r>
      <w:r w:rsidR="00A34DC3">
        <w:rPr>
          <w:b/>
        </w:rPr>
        <w:t>c</w:t>
      </w:r>
      <w:r w:rsidR="00A83CDD">
        <w:rPr>
          <w:b/>
        </w:rPr>
        <w:t xml:space="preserve">ontiguous </w:t>
      </w:r>
      <w:r w:rsidR="00A34DC3">
        <w:rPr>
          <w:b/>
        </w:rPr>
        <w:t xml:space="preserve">NR </w:t>
      </w:r>
      <w:r w:rsidR="00A83CDD">
        <w:rPr>
          <w:b/>
        </w:rPr>
        <w:t xml:space="preserve">UL </w:t>
      </w:r>
      <w:r w:rsidR="00A34DC3">
        <w:rPr>
          <w:b/>
        </w:rPr>
        <w:t>CA MPR evaluation</w:t>
      </w:r>
      <w:r w:rsidR="0008501B" w:rsidRPr="003C7320">
        <w:rPr>
          <w:b/>
        </w:rPr>
        <w:t>:</w:t>
      </w:r>
    </w:p>
    <w:p w14:paraId="2F0C22E4" w14:textId="546E024D" w:rsidR="00807DB1" w:rsidRPr="001601FD" w:rsidRDefault="001601FD" w:rsidP="001040B3">
      <w:pPr>
        <w:pStyle w:val="ListParagraph"/>
        <w:numPr>
          <w:ilvl w:val="0"/>
          <w:numId w:val="11"/>
        </w:numPr>
        <w:rPr>
          <w:b/>
        </w:rPr>
      </w:pPr>
      <w:r>
        <w:rPr>
          <w:b/>
          <w:lang w:val="en-CA"/>
        </w:rPr>
        <w:t>SEM and ACLR requirements are based on the aggregated bandwidth with ACLR measurement bandwidths as follows:</w:t>
      </w:r>
    </w:p>
    <w:p w14:paraId="1B5B37BD" w14:textId="1A6AD7E8" w:rsidR="001601FD" w:rsidRPr="00A83CDD" w:rsidRDefault="001601FD" w:rsidP="00A83CDD">
      <w:pPr>
        <w:pStyle w:val="ListParagraph"/>
        <w:numPr>
          <w:ilvl w:val="1"/>
          <w:numId w:val="11"/>
        </w:numPr>
        <w:ind w:left="720"/>
        <w:rPr>
          <w:b/>
        </w:rPr>
      </w:pPr>
      <w:r>
        <w:rPr>
          <w:b/>
          <w:lang w:val="en-CA"/>
        </w:rPr>
        <w:t xml:space="preserve">100% aggregated bandwidth for wanted and </w:t>
      </w:r>
      <w:r w:rsidR="00A83CDD">
        <w:rPr>
          <w:b/>
          <w:lang w:val="en-CA"/>
        </w:rPr>
        <w:t>99% aggregated bandwidth for adjacent in FR1</w:t>
      </w:r>
    </w:p>
    <w:p w14:paraId="2F26FEA7" w14:textId="100697CF" w:rsidR="00A83CDD" w:rsidRPr="00A83CDD" w:rsidRDefault="00A83CDD" w:rsidP="00A83CDD">
      <w:pPr>
        <w:pStyle w:val="ListParagraph"/>
        <w:numPr>
          <w:ilvl w:val="1"/>
          <w:numId w:val="11"/>
        </w:numPr>
        <w:ind w:left="720"/>
        <w:rPr>
          <w:b/>
        </w:rPr>
      </w:pPr>
      <w:r>
        <w:rPr>
          <w:b/>
          <w:lang w:val="en-CA"/>
        </w:rPr>
        <w:t xml:space="preserve">98% aggregated bandwidth for </w:t>
      </w:r>
      <w:r w:rsidR="004862EF">
        <w:rPr>
          <w:b/>
          <w:lang w:val="en-CA"/>
        </w:rPr>
        <w:t>w</w:t>
      </w:r>
      <w:r>
        <w:rPr>
          <w:b/>
          <w:lang w:val="en-CA"/>
        </w:rPr>
        <w:t>anted and adjacent in FR2</w:t>
      </w:r>
    </w:p>
    <w:p w14:paraId="0E7C307B" w14:textId="30375A48" w:rsidR="00A83CDD" w:rsidRPr="00A83CDD" w:rsidRDefault="00A83CDD" w:rsidP="00A83CDD">
      <w:pPr>
        <w:pStyle w:val="ListParagraph"/>
        <w:numPr>
          <w:ilvl w:val="0"/>
          <w:numId w:val="11"/>
        </w:numPr>
        <w:rPr>
          <w:b/>
        </w:rPr>
      </w:pPr>
      <w:r>
        <w:rPr>
          <w:b/>
          <w:lang w:val="en-CA"/>
        </w:rPr>
        <w:t>In band emissions are evaluated with a single CC active for QPSK and 16QAM. FFS for higher modulation orders</w:t>
      </w:r>
    </w:p>
    <w:p w14:paraId="6B76040F" w14:textId="51E1A18F" w:rsidR="00A83CDD" w:rsidRPr="0008501B" w:rsidRDefault="00A83CDD" w:rsidP="00A83CDD">
      <w:pPr>
        <w:pStyle w:val="ListParagraph"/>
        <w:numPr>
          <w:ilvl w:val="0"/>
          <w:numId w:val="11"/>
        </w:numPr>
        <w:rPr>
          <w:b/>
        </w:rPr>
      </w:pPr>
      <w:r>
        <w:rPr>
          <w:b/>
          <w:lang w:val="en-CA"/>
        </w:rPr>
        <w:t>Back-off</w:t>
      </w:r>
      <w:r w:rsidR="00A34DC3">
        <w:rPr>
          <w:b/>
          <w:lang w:val="en-CA"/>
        </w:rPr>
        <w:t xml:space="preserve"> is evaluated for inner and outer definitions of chapter 2.1.2 of [1]</w:t>
      </w:r>
    </w:p>
    <w:p w14:paraId="7CBB344C" w14:textId="6B238DA7" w:rsidR="00027460" w:rsidRDefault="00027460" w:rsidP="00027460">
      <w:pPr>
        <w:pStyle w:val="Heading2"/>
        <w:spacing w:after="240"/>
        <w:rPr>
          <w:sz w:val="36"/>
          <w:lang w:val="en-US"/>
        </w:rPr>
      </w:pPr>
      <w:r>
        <w:rPr>
          <w:sz w:val="36"/>
          <w:lang w:val="en-US"/>
        </w:rPr>
        <w:t xml:space="preserve">Non-contiguous </w:t>
      </w:r>
      <w:r w:rsidR="004862EF">
        <w:rPr>
          <w:sz w:val="36"/>
          <w:lang w:val="en-US"/>
        </w:rPr>
        <w:t>NR UL CA Case</w:t>
      </w:r>
    </w:p>
    <w:p w14:paraId="213340F5" w14:textId="5F751037" w:rsidR="006240F9" w:rsidRDefault="00A34DC3" w:rsidP="00974CDE">
      <w:pPr>
        <w:spacing w:after="0"/>
        <w:jc w:val="both"/>
      </w:pPr>
      <w:r>
        <w:t>Similarly to the contiguous case, it is proposed to reuse LTE principles and that SEM uses the combined mask and ACLR applies individually to each CC but with wanted signal power being the total power of CC1 and CC2.</w:t>
      </w:r>
    </w:p>
    <w:p w14:paraId="21DF8DA0" w14:textId="77777777" w:rsidR="00A34DC3" w:rsidRDefault="00A34DC3" w:rsidP="00974CDE">
      <w:pPr>
        <w:spacing w:after="0"/>
        <w:jc w:val="both"/>
      </w:pPr>
    </w:p>
    <w:p w14:paraId="34B8CE49" w14:textId="0359147B" w:rsidR="00A34DC3" w:rsidRDefault="00A34DC3" w:rsidP="00974CDE">
      <w:pPr>
        <w:spacing w:after="0"/>
        <w:jc w:val="both"/>
      </w:pPr>
      <w:r>
        <w:t xml:space="preserve">For applicability of ACLR in the gap though, further discussion is needed as the use of a single </w:t>
      </w:r>
      <w:r w:rsidR="004862EF">
        <w:t xml:space="preserve">transmitter </w:t>
      </w:r>
      <w:r>
        <w:t>architecture arises the image issue as described in [1] for 2UL cases (CA and ENDC)</w:t>
      </w:r>
    </w:p>
    <w:p w14:paraId="0FDAF8EE" w14:textId="72A8A9FF" w:rsidR="00022110" w:rsidRDefault="00022110" w:rsidP="004862EF">
      <w:pPr>
        <w:keepNext/>
        <w:spacing w:after="0"/>
      </w:pPr>
    </w:p>
    <w:p w14:paraId="5E1BB1A6" w14:textId="148F1488" w:rsidR="00A34DC3" w:rsidRPr="003C7320" w:rsidRDefault="00A34DC3" w:rsidP="00A34DC3">
      <w:pPr>
        <w:tabs>
          <w:tab w:val="left" w:pos="5103"/>
        </w:tabs>
        <w:spacing w:after="0"/>
        <w:jc w:val="both"/>
        <w:rPr>
          <w:b/>
        </w:rPr>
      </w:pPr>
      <w:r>
        <w:rPr>
          <w:b/>
        </w:rPr>
        <w:t>Proposal 3 for non-contiguous NR UL CA MPR evaluation</w:t>
      </w:r>
      <w:r w:rsidRPr="003C7320">
        <w:rPr>
          <w:b/>
        </w:rPr>
        <w:t>:</w:t>
      </w:r>
    </w:p>
    <w:p w14:paraId="677B238A" w14:textId="67836E19" w:rsidR="00A34DC3" w:rsidRPr="001601FD" w:rsidRDefault="00A34DC3" w:rsidP="00A34DC3">
      <w:pPr>
        <w:pStyle w:val="ListParagraph"/>
        <w:numPr>
          <w:ilvl w:val="0"/>
          <w:numId w:val="11"/>
        </w:numPr>
        <w:rPr>
          <w:b/>
        </w:rPr>
      </w:pPr>
      <w:r>
        <w:rPr>
          <w:b/>
          <w:lang w:val="en-CA"/>
        </w:rPr>
        <w:t>SEM requirement uses the combined mask of each CC</w:t>
      </w:r>
    </w:p>
    <w:p w14:paraId="7AA3042B" w14:textId="33927494" w:rsidR="00A34DC3" w:rsidRPr="00A34DC3" w:rsidRDefault="00A34DC3" w:rsidP="00A34DC3">
      <w:pPr>
        <w:pStyle w:val="ListParagraph"/>
        <w:numPr>
          <w:ilvl w:val="0"/>
          <w:numId w:val="11"/>
        </w:numPr>
        <w:rPr>
          <w:b/>
        </w:rPr>
      </w:pPr>
      <w:r>
        <w:rPr>
          <w:b/>
          <w:lang w:val="en-CA"/>
        </w:rPr>
        <w:t>ACLR uses the individual CC definition for the outer adjacent channels with the wanted signal power equal to the total CC1 and CC2 power</w:t>
      </w:r>
    </w:p>
    <w:p w14:paraId="5A4453E5" w14:textId="782F9D17" w:rsidR="00A34DC3" w:rsidRPr="00A34DC3" w:rsidRDefault="00A34DC3" w:rsidP="00A34DC3">
      <w:pPr>
        <w:pStyle w:val="ListParagraph"/>
        <w:numPr>
          <w:ilvl w:val="0"/>
          <w:numId w:val="11"/>
        </w:numPr>
        <w:rPr>
          <w:b/>
        </w:rPr>
      </w:pPr>
      <w:r>
        <w:rPr>
          <w:b/>
          <w:lang w:val="en-CA"/>
        </w:rPr>
        <w:lastRenderedPageBreak/>
        <w:t>Due to issues with image rejection in the single transmitter case, it is suggested to ignore ALCR in the gap</w:t>
      </w:r>
      <w:r w:rsidR="004862EF">
        <w:rPr>
          <w:b/>
          <w:lang w:val="en-CA"/>
        </w:rPr>
        <w:t xml:space="preserve"> or to re-evaluate image rejection or ACLR requirement</w:t>
      </w:r>
    </w:p>
    <w:p w14:paraId="53FAAF2D" w14:textId="7D6A4678" w:rsidR="00A34DC3" w:rsidRPr="00A34DC3" w:rsidRDefault="00A34DC3" w:rsidP="00A34DC3">
      <w:pPr>
        <w:pStyle w:val="ListParagraph"/>
        <w:numPr>
          <w:ilvl w:val="0"/>
          <w:numId w:val="11"/>
        </w:numPr>
        <w:rPr>
          <w:b/>
        </w:rPr>
      </w:pPr>
      <w:r>
        <w:rPr>
          <w:b/>
          <w:lang w:val="en-CA"/>
        </w:rPr>
        <w:t>In band emissions are evaluated with a single CC active for QPSK and 16QAM. FFS for higher modulation orders (possibly less of an issue for non-contiguous case)</w:t>
      </w:r>
    </w:p>
    <w:p w14:paraId="5AE3DFC1" w14:textId="7F880841" w:rsidR="00A34DC3" w:rsidRPr="0008501B" w:rsidRDefault="00A34DC3" w:rsidP="00A34DC3">
      <w:pPr>
        <w:pStyle w:val="ListParagraph"/>
        <w:numPr>
          <w:ilvl w:val="0"/>
          <w:numId w:val="11"/>
        </w:numPr>
        <w:rPr>
          <w:b/>
        </w:rPr>
      </w:pPr>
      <w:r>
        <w:rPr>
          <w:b/>
          <w:lang w:val="en-CA"/>
        </w:rPr>
        <w:t>Back-off is evaluated for inner and outer definitions of chapter 2.2.2 of [1]</w:t>
      </w:r>
    </w:p>
    <w:p w14:paraId="12CE9BEA" w14:textId="77777777" w:rsidR="00A645E7" w:rsidRDefault="00A645E7" w:rsidP="00D269D7">
      <w:pPr>
        <w:pStyle w:val="Heading1"/>
      </w:pPr>
      <w:r>
        <w:t>Conclusions</w:t>
      </w:r>
    </w:p>
    <w:p w14:paraId="1669176C" w14:textId="7D4D2EDD" w:rsidR="0026504E" w:rsidRDefault="006418C7" w:rsidP="002E7BD8">
      <w:pPr>
        <w:spacing w:after="0"/>
        <w:jc w:val="both"/>
      </w:pPr>
      <w:r>
        <w:t>In this contribution</w:t>
      </w:r>
      <w:r w:rsidR="00596F26">
        <w:t xml:space="preserve"> </w:t>
      </w:r>
      <w:r w:rsidR="005D0F9B">
        <w:t xml:space="preserve">we discussed </w:t>
      </w:r>
      <w:r w:rsidR="007C7F0E">
        <w:t xml:space="preserve">the </w:t>
      </w:r>
      <w:r w:rsidR="004862EF">
        <w:t>assumptions and requirements related to NR UL CA for both contiguous and non-contiguous cases</w:t>
      </w:r>
      <w:r w:rsidR="007C7F0E">
        <w:t>.</w:t>
      </w:r>
      <w:r w:rsidR="004862EF">
        <w:t xml:space="preserve"> Based on the LTE legacy, single CC NR MPR and ENDC experience, the following proposals are made. Note that most of the proposals are based on 2CC UL allocation </w:t>
      </w:r>
      <w:proofErr w:type="gramStart"/>
      <w:r w:rsidR="004862EF">
        <w:t>behavior that are</w:t>
      </w:r>
      <w:proofErr w:type="gramEnd"/>
      <w:r w:rsidR="004862EF">
        <w:t xml:space="preserve"> discussed in [1].</w:t>
      </w:r>
    </w:p>
    <w:p w14:paraId="2EBE14AD" w14:textId="77777777" w:rsidR="00EE3FD8" w:rsidRDefault="00EE3FD8" w:rsidP="002E7BD8">
      <w:pPr>
        <w:spacing w:after="0"/>
        <w:jc w:val="both"/>
      </w:pPr>
    </w:p>
    <w:p w14:paraId="692A8C86" w14:textId="77777777" w:rsidR="00795A2C" w:rsidRPr="001E3299" w:rsidRDefault="00795A2C" w:rsidP="00795A2C">
      <w:pPr>
        <w:tabs>
          <w:tab w:val="left" w:pos="5103"/>
        </w:tabs>
        <w:spacing w:after="0"/>
        <w:jc w:val="both"/>
        <w:rPr>
          <w:b/>
        </w:rPr>
      </w:pPr>
      <w:r w:rsidRPr="001E3299">
        <w:rPr>
          <w:b/>
        </w:rPr>
        <w:t>Proposal 1 assumptions for MPR studies:</w:t>
      </w:r>
    </w:p>
    <w:p w14:paraId="205DCE6B" w14:textId="77777777" w:rsidR="00795A2C" w:rsidRPr="001E3299" w:rsidRDefault="00795A2C" w:rsidP="00795A2C">
      <w:pPr>
        <w:pStyle w:val="ListParagraph"/>
        <w:numPr>
          <w:ilvl w:val="0"/>
          <w:numId w:val="18"/>
        </w:numPr>
        <w:tabs>
          <w:tab w:val="left" w:pos="5103"/>
        </w:tabs>
        <w:spacing w:after="0"/>
        <w:jc w:val="both"/>
        <w:rPr>
          <w:b/>
        </w:rPr>
      </w:pPr>
      <w:r w:rsidRPr="001E3299">
        <w:rPr>
          <w:b/>
        </w:rPr>
        <w:t xml:space="preserve">Power aspects: Single </w:t>
      </w:r>
      <w:r>
        <w:rPr>
          <w:b/>
        </w:rPr>
        <w:t>transmit path</w:t>
      </w:r>
      <w:r w:rsidRPr="001E3299">
        <w:rPr>
          <w:b/>
        </w:rPr>
        <w:t>, equal PSD and equal back-off is used</w:t>
      </w:r>
    </w:p>
    <w:p w14:paraId="49C49B43" w14:textId="77777777" w:rsidR="00795A2C" w:rsidRPr="001E3299" w:rsidRDefault="00795A2C" w:rsidP="00795A2C">
      <w:pPr>
        <w:pStyle w:val="ListParagraph"/>
        <w:numPr>
          <w:ilvl w:val="0"/>
          <w:numId w:val="18"/>
        </w:numPr>
        <w:tabs>
          <w:tab w:val="left" w:pos="5103"/>
        </w:tabs>
        <w:spacing w:after="0"/>
        <w:jc w:val="both"/>
        <w:rPr>
          <w:b/>
        </w:rPr>
      </w:pPr>
      <w:r w:rsidRPr="001E3299">
        <w:rPr>
          <w:b/>
        </w:rPr>
        <w:t xml:space="preserve">CCs: </w:t>
      </w:r>
      <w:r>
        <w:rPr>
          <w:b/>
        </w:rPr>
        <w:t>S</w:t>
      </w:r>
      <w:r w:rsidRPr="001E3299">
        <w:rPr>
          <w:b/>
        </w:rPr>
        <w:t xml:space="preserve">ame SCS and </w:t>
      </w:r>
      <w:r>
        <w:rPr>
          <w:b/>
        </w:rPr>
        <w:t xml:space="preserve">channel </w:t>
      </w:r>
      <w:r w:rsidRPr="001E3299">
        <w:rPr>
          <w:b/>
        </w:rPr>
        <w:t>BW betwe</w:t>
      </w:r>
      <w:r>
        <w:rPr>
          <w:b/>
        </w:rPr>
        <w:t>e</w:t>
      </w:r>
      <w:r w:rsidRPr="001E3299">
        <w:rPr>
          <w:b/>
        </w:rPr>
        <w:t>n</w:t>
      </w:r>
      <w:r>
        <w:rPr>
          <w:b/>
        </w:rPr>
        <w:t xml:space="preserve"> </w:t>
      </w:r>
      <w:r w:rsidRPr="001E3299">
        <w:rPr>
          <w:b/>
        </w:rPr>
        <w:t>20 and 100</w:t>
      </w:r>
      <w:r>
        <w:rPr>
          <w:b/>
        </w:rPr>
        <w:t xml:space="preserve"> </w:t>
      </w:r>
      <w:r w:rsidRPr="001E3299">
        <w:rPr>
          <w:b/>
        </w:rPr>
        <w:t>MHz</w:t>
      </w:r>
    </w:p>
    <w:p w14:paraId="1685429E" w14:textId="77777777" w:rsidR="00795A2C" w:rsidRPr="001E3299" w:rsidRDefault="00795A2C" w:rsidP="00795A2C">
      <w:pPr>
        <w:pStyle w:val="ListParagraph"/>
        <w:numPr>
          <w:ilvl w:val="0"/>
          <w:numId w:val="18"/>
        </w:numPr>
        <w:tabs>
          <w:tab w:val="left" w:pos="5103"/>
        </w:tabs>
        <w:spacing w:after="0"/>
        <w:jc w:val="both"/>
        <w:rPr>
          <w:b/>
        </w:rPr>
      </w:pPr>
      <w:r w:rsidRPr="001E3299">
        <w:rPr>
          <w:b/>
        </w:rPr>
        <w:t>Bands and channel configurations: % BW limitations (3% FDD, 4% TDD) should be considered</w:t>
      </w:r>
      <w:r>
        <w:rPr>
          <w:b/>
        </w:rPr>
        <w:t xml:space="preserve"> for total transmitted BW and further back-off evaluated if exceeded (possibly with spectrum flatness relaxations)</w:t>
      </w:r>
    </w:p>
    <w:p w14:paraId="3CFBA980" w14:textId="77777777" w:rsidR="004862EF" w:rsidRDefault="004862EF" w:rsidP="004862EF">
      <w:pPr>
        <w:tabs>
          <w:tab w:val="left" w:pos="5103"/>
        </w:tabs>
        <w:spacing w:after="0"/>
        <w:jc w:val="both"/>
        <w:rPr>
          <w:b/>
        </w:rPr>
      </w:pPr>
    </w:p>
    <w:p w14:paraId="2AE92E11" w14:textId="77777777" w:rsidR="00050B62" w:rsidRPr="003C7320" w:rsidRDefault="00050B62" w:rsidP="00050B62">
      <w:pPr>
        <w:tabs>
          <w:tab w:val="left" w:pos="5103"/>
        </w:tabs>
        <w:spacing w:after="0"/>
        <w:jc w:val="both"/>
        <w:rPr>
          <w:b/>
        </w:rPr>
      </w:pPr>
      <w:r>
        <w:rPr>
          <w:b/>
        </w:rPr>
        <w:t>Proposal 2 for contiguous NR UL CA MPR evaluation</w:t>
      </w:r>
      <w:r w:rsidRPr="003C7320">
        <w:rPr>
          <w:b/>
        </w:rPr>
        <w:t>:</w:t>
      </w:r>
    </w:p>
    <w:p w14:paraId="4E9915F2" w14:textId="77777777" w:rsidR="00050B62" w:rsidRPr="001601FD" w:rsidRDefault="00050B62" w:rsidP="00050B62">
      <w:pPr>
        <w:pStyle w:val="ListParagraph"/>
        <w:numPr>
          <w:ilvl w:val="0"/>
          <w:numId w:val="11"/>
        </w:numPr>
        <w:rPr>
          <w:b/>
        </w:rPr>
      </w:pPr>
      <w:r>
        <w:rPr>
          <w:b/>
          <w:lang w:val="en-CA"/>
        </w:rPr>
        <w:t>SEM and ACLR requirements are based on the aggregated bandwidth with ACLR measurement bandwidths as follows:</w:t>
      </w:r>
    </w:p>
    <w:p w14:paraId="61EBC199" w14:textId="77777777" w:rsidR="00050B62" w:rsidRPr="00A83CDD" w:rsidRDefault="00050B62" w:rsidP="00050B62">
      <w:pPr>
        <w:pStyle w:val="ListParagraph"/>
        <w:numPr>
          <w:ilvl w:val="1"/>
          <w:numId w:val="11"/>
        </w:numPr>
        <w:ind w:left="720"/>
        <w:rPr>
          <w:b/>
        </w:rPr>
      </w:pPr>
      <w:r>
        <w:rPr>
          <w:b/>
          <w:lang w:val="en-CA"/>
        </w:rPr>
        <w:t>100% aggregated bandwidth for wanted and 99% aggregated bandwidth for adjacent in FR1</w:t>
      </w:r>
    </w:p>
    <w:p w14:paraId="2C6EFEDF" w14:textId="77777777" w:rsidR="00050B62" w:rsidRPr="00A83CDD" w:rsidRDefault="00050B62" w:rsidP="00050B62">
      <w:pPr>
        <w:pStyle w:val="ListParagraph"/>
        <w:numPr>
          <w:ilvl w:val="1"/>
          <w:numId w:val="11"/>
        </w:numPr>
        <w:ind w:left="720"/>
        <w:rPr>
          <w:b/>
        </w:rPr>
      </w:pPr>
      <w:r>
        <w:rPr>
          <w:b/>
          <w:lang w:val="en-CA"/>
        </w:rPr>
        <w:t>98% aggregated bandwidth for wanted and adjacent in FR2</w:t>
      </w:r>
    </w:p>
    <w:p w14:paraId="39348741" w14:textId="77777777" w:rsidR="00050B62" w:rsidRPr="00A83CDD" w:rsidRDefault="00050B62" w:rsidP="00050B62">
      <w:pPr>
        <w:pStyle w:val="ListParagraph"/>
        <w:numPr>
          <w:ilvl w:val="0"/>
          <w:numId w:val="11"/>
        </w:numPr>
        <w:rPr>
          <w:b/>
        </w:rPr>
      </w:pPr>
      <w:r>
        <w:rPr>
          <w:b/>
          <w:lang w:val="en-CA"/>
        </w:rPr>
        <w:t>In band emissions are evaluated with a single CC active for QPSK and 16QAM. FFS for higher modulation orders</w:t>
      </w:r>
    </w:p>
    <w:p w14:paraId="2F35A513" w14:textId="77777777" w:rsidR="00050B62" w:rsidRPr="0008501B" w:rsidRDefault="00050B62" w:rsidP="00050B62">
      <w:pPr>
        <w:pStyle w:val="ListParagraph"/>
        <w:numPr>
          <w:ilvl w:val="0"/>
          <w:numId w:val="11"/>
        </w:numPr>
        <w:rPr>
          <w:b/>
        </w:rPr>
      </w:pPr>
      <w:r>
        <w:rPr>
          <w:b/>
          <w:lang w:val="en-CA"/>
        </w:rPr>
        <w:t>Back-off is evaluated for inner and outer definitions of chapter 2.1.2 of [1]</w:t>
      </w:r>
    </w:p>
    <w:p w14:paraId="3429C503" w14:textId="77777777" w:rsidR="00050B62" w:rsidRPr="003C7320" w:rsidRDefault="00050B62" w:rsidP="00050B62">
      <w:pPr>
        <w:tabs>
          <w:tab w:val="left" w:pos="5103"/>
        </w:tabs>
        <w:spacing w:after="0"/>
        <w:jc w:val="both"/>
        <w:rPr>
          <w:b/>
        </w:rPr>
      </w:pPr>
      <w:r>
        <w:rPr>
          <w:b/>
        </w:rPr>
        <w:t>Proposal 3 for non-contiguous NR UL CA MPR evaluation</w:t>
      </w:r>
      <w:r w:rsidRPr="003C7320">
        <w:rPr>
          <w:b/>
        </w:rPr>
        <w:t>:</w:t>
      </w:r>
    </w:p>
    <w:p w14:paraId="4177DAB5" w14:textId="77777777" w:rsidR="00050B62" w:rsidRPr="001601FD" w:rsidRDefault="00050B62" w:rsidP="00050B62">
      <w:pPr>
        <w:pStyle w:val="ListParagraph"/>
        <w:numPr>
          <w:ilvl w:val="0"/>
          <w:numId w:val="11"/>
        </w:numPr>
        <w:rPr>
          <w:b/>
        </w:rPr>
      </w:pPr>
      <w:r>
        <w:rPr>
          <w:b/>
          <w:lang w:val="en-CA"/>
        </w:rPr>
        <w:t>SEM requirement uses the combined mask of each CC</w:t>
      </w:r>
    </w:p>
    <w:p w14:paraId="2E0E2AB2" w14:textId="77777777" w:rsidR="00050B62" w:rsidRPr="00A34DC3" w:rsidRDefault="00050B62" w:rsidP="00050B62">
      <w:pPr>
        <w:pStyle w:val="ListParagraph"/>
        <w:numPr>
          <w:ilvl w:val="0"/>
          <w:numId w:val="11"/>
        </w:numPr>
        <w:rPr>
          <w:b/>
        </w:rPr>
      </w:pPr>
      <w:r>
        <w:rPr>
          <w:b/>
          <w:lang w:val="en-CA"/>
        </w:rPr>
        <w:t>ACLR uses the individual CC definition for the outer adjacent channels with the wanted signal power equal to the total CC1 and CC2 power</w:t>
      </w:r>
    </w:p>
    <w:p w14:paraId="7088B971" w14:textId="77777777" w:rsidR="00050B62" w:rsidRPr="00A34DC3" w:rsidRDefault="00050B62" w:rsidP="00050B62">
      <w:pPr>
        <w:pStyle w:val="ListParagraph"/>
        <w:numPr>
          <w:ilvl w:val="0"/>
          <w:numId w:val="11"/>
        </w:numPr>
        <w:rPr>
          <w:b/>
        </w:rPr>
      </w:pPr>
      <w:r>
        <w:rPr>
          <w:b/>
          <w:lang w:val="en-CA"/>
        </w:rPr>
        <w:t>Due to issues with image rejection in the single transmitter case, it is suggested to ignore ALCR in the gap or to re-evaluate image rejection or ACLR requirement</w:t>
      </w:r>
    </w:p>
    <w:p w14:paraId="483F0888" w14:textId="77777777" w:rsidR="00050B62" w:rsidRPr="00A34DC3" w:rsidRDefault="00050B62" w:rsidP="00050B62">
      <w:pPr>
        <w:pStyle w:val="ListParagraph"/>
        <w:numPr>
          <w:ilvl w:val="0"/>
          <w:numId w:val="11"/>
        </w:numPr>
        <w:rPr>
          <w:b/>
        </w:rPr>
      </w:pPr>
      <w:r>
        <w:rPr>
          <w:b/>
          <w:lang w:val="en-CA"/>
        </w:rPr>
        <w:t>In band emissions are evaluated with a single CC active for QPSK and 16QAM. FFS for higher modulation orders (possibly less of an issue for non-contiguous case)</w:t>
      </w:r>
    </w:p>
    <w:p w14:paraId="35371336" w14:textId="77777777" w:rsidR="00050B62" w:rsidRPr="0008501B" w:rsidRDefault="00050B62" w:rsidP="00050B62">
      <w:pPr>
        <w:pStyle w:val="ListParagraph"/>
        <w:numPr>
          <w:ilvl w:val="0"/>
          <w:numId w:val="11"/>
        </w:numPr>
        <w:rPr>
          <w:b/>
        </w:rPr>
      </w:pPr>
      <w:r>
        <w:rPr>
          <w:b/>
          <w:lang w:val="en-CA"/>
        </w:rPr>
        <w:t>Back-off is evaluated for inner and outer definitions of chapter 2.2.2 of [1]</w:t>
      </w:r>
    </w:p>
    <w:p w14:paraId="03D6921F" w14:textId="77777777" w:rsidR="00F10F97" w:rsidRDefault="007321E3" w:rsidP="00C8525F">
      <w:pPr>
        <w:pStyle w:val="Heading1"/>
        <w:numPr>
          <w:ilvl w:val="0"/>
          <w:numId w:val="0"/>
        </w:numPr>
        <w:jc w:val="both"/>
      </w:pPr>
      <w:r>
        <w:t>R</w:t>
      </w:r>
      <w:r w:rsidR="00F10F97">
        <w:t>eferences</w:t>
      </w:r>
    </w:p>
    <w:p w14:paraId="14073DF0" w14:textId="55E724DD" w:rsidR="00C5184D" w:rsidRPr="005B531A" w:rsidRDefault="004F0970" w:rsidP="00105C2B">
      <w:pPr>
        <w:jc w:val="both"/>
        <w:rPr>
          <w:rFonts w:eastAsia="SimSun"/>
          <w:lang w:eastAsia="zh-CN"/>
        </w:rPr>
      </w:pPr>
      <w:r>
        <w:t>[1</w:t>
      </w:r>
      <w:r w:rsidRPr="00EF4527">
        <w:t>]</w:t>
      </w:r>
      <w:r w:rsidRPr="00EF4527">
        <w:tab/>
      </w:r>
      <w:r w:rsidR="00915C62" w:rsidRPr="00EF4527">
        <w:rPr>
          <w:rFonts w:eastAsia="SimSun"/>
          <w:lang w:eastAsia="zh-CN"/>
        </w:rPr>
        <w:t>R4-190</w:t>
      </w:r>
      <w:r w:rsidR="00EF4527" w:rsidRPr="00EF4527">
        <w:rPr>
          <w:rFonts w:eastAsia="SimSun"/>
          <w:lang w:eastAsia="zh-CN"/>
        </w:rPr>
        <w:t>8815</w:t>
      </w:r>
      <w:r w:rsidR="00915C62" w:rsidRPr="00EF4527">
        <w:rPr>
          <w:rFonts w:eastAsia="SimSun"/>
          <w:lang w:eastAsia="zh-CN"/>
        </w:rPr>
        <w:t xml:space="preserve"> </w:t>
      </w:r>
      <w:r w:rsidR="006202F7" w:rsidRPr="00EF4527">
        <w:rPr>
          <w:rFonts w:eastAsia="SimSun"/>
          <w:lang w:eastAsia="zh-CN"/>
        </w:rPr>
        <w:t xml:space="preserve">Discussion on 2UL allocation types and their impact on required </w:t>
      </w:r>
      <w:proofErr w:type="spellStart"/>
      <w:r w:rsidR="006202F7" w:rsidRPr="00EF4527">
        <w:rPr>
          <w:rFonts w:eastAsia="SimSun"/>
          <w:lang w:eastAsia="zh-CN"/>
        </w:rPr>
        <w:t>backoff</w:t>
      </w:r>
      <w:proofErr w:type="spellEnd"/>
      <w:r w:rsidR="006202F7" w:rsidRPr="00EF4527">
        <w:rPr>
          <w:rFonts w:eastAsia="SimSun"/>
          <w:lang w:eastAsia="zh-CN"/>
        </w:rPr>
        <w:t xml:space="preserve"> and MSD</w:t>
      </w:r>
      <w:r w:rsidR="0015261D" w:rsidRPr="00EF4527">
        <w:rPr>
          <w:rFonts w:eastAsia="SimSun"/>
          <w:lang w:eastAsia="zh-CN"/>
        </w:rPr>
        <w:t xml:space="preserve">, </w:t>
      </w:r>
      <w:r w:rsidR="00384501" w:rsidRPr="00EF4527">
        <w:rPr>
          <w:rFonts w:eastAsia="SimSun"/>
          <w:lang w:eastAsia="zh-CN"/>
        </w:rPr>
        <w:t>Skyworks Solutions Inc., RAN4#9</w:t>
      </w:r>
      <w:r w:rsidR="006202F7" w:rsidRPr="00EF4527">
        <w:rPr>
          <w:rFonts w:eastAsia="SimSun"/>
          <w:lang w:eastAsia="zh-CN"/>
        </w:rPr>
        <w:t>2</w:t>
      </w:r>
      <w:bookmarkStart w:id="2" w:name="_GoBack"/>
      <w:bookmarkEnd w:id="2"/>
    </w:p>
    <w:sectPr w:rsidR="00C5184D" w:rsidRPr="005B531A" w:rsidSect="00CC71EC">
      <w:footerReference w:type="default" r:id="rId10"/>
      <w:footnotePr>
        <w:numRestart w:val="eachSect"/>
      </w:footnotePr>
      <w:pgSz w:w="11907" w:h="16840" w:code="9"/>
      <w:pgMar w:top="1440" w:right="1440" w:bottom="1440" w:left="1440" w:header="850" w:footer="34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7BF002" w16cid:durableId="20111D4C"/>
  <w16cid:commentId w16cid:paraId="0911C63A" w16cid:durableId="20112A33"/>
  <w16cid:commentId w16cid:paraId="210D4643" w16cid:durableId="20112A97"/>
  <w16cid:commentId w16cid:paraId="41501D09" w16cid:durableId="20112BE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954F3F" w14:textId="77777777" w:rsidR="00131AC9" w:rsidRDefault="00131AC9">
      <w:r>
        <w:separator/>
      </w:r>
    </w:p>
  </w:endnote>
  <w:endnote w:type="continuationSeparator" w:id="0">
    <w:p w14:paraId="0BABFBAB" w14:textId="77777777" w:rsidR="00131AC9" w:rsidRDefault="00131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3F1D8A" w:rsidRDefault="003F1D8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47D90B" w14:textId="77777777" w:rsidR="00131AC9" w:rsidRDefault="00131AC9">
      <w:r>
        <w:separator/>
      </w:r>
    </w:p>
  </w:footnote>
  <w:footnote w:type="continuationSeparator" w:id="0">
    <w:p w14:paraId="6CC71479" w14:textId="77777777" w:rsidR="00131AC9" w:rsidRDefault="00131A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83DD5"/>
    <w:multiLevelType w:val="hybridMultilevel"/>
    <w:tmpl w:val="85DA5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E81C53"/>
    <w:multiLevelType w:val="hybridMultilevel"/>
    <w:tmpl w:val="8A6235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0BE7F52"/>
    <w:multiLevelType w:val="hybridMultilevel"/>
    <w:tmpl w:val="76B69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nsid w:val="2183448F"/>
    <w:multiLevelType w:val="hybridMultilevel"/>
    <w:tmpl w:val="13E47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44F59F0"/>
    <w:multiLevelType w:val="multilevel"/>
    <w:tmpl w:val="7C5438C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4B6644C5"/>
    <w:multiLevelType w:val="hybridMultilevel"/>
    <w:tmpl w:val="13D42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B7C16A7"/>
    <w:multiLevelType w:val="hybridMultilevel"/>
    <w:tmpl w:val="75560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8300AA"/>
    <w:multiLevelType w:val="hybridMultilevel"/>
    <w:tmpl w:val="5428D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F95AAC"/>
    <w:multiLevelType w:val="hybridMultilevel"/>
    <w:tmpl w:val="9E802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CC04F83"/>
    <w:multiLevelType w:val="hybridMultilevel"/>
    <w:tmpl w:val="22883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32359A2"/>
    <w:multiLevelType w:val="hybridMultilevel"/>
    <w:tmpl w:val="B574A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95208FA"/>
    <w:multiLevelType w:val="hybridMultilevel"/>
    <w:tmpl w:val="0B4235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8"/>
  </w:num>
  <w:num w:numId="4">
    <w:abstractNumId w:val="18"/>
  </w:num>
  <w:num w:numId="5">
    <w:abstractNumId w:val="6"/>
  </w:num>
  <w:num w:numId="6">
    <w:abstractNumId w:val="3"/>
  </w:num>
  <w:num w:numId="7">
    <w:abstractNumId w:val="9"/>
  </w:num>
  <w:num w:numId="8">
    <w:abstractNumId w:val="15"/>
  </w:num>
  <w:num w:numId="9">
    <w:abstractNumId w:val="10"/>
  </w:num>
  <w:num w:numId="10">
    <w:abstractNumId w:val="14"/>
  </w:num>
  <w:num w:numId="11">
    <w:abstractNumId w:val="2"/>
  </w:num>
  <w:num w:numId="12">
    <w:abstractNumId w:val="16"/>
  </w:num>
  <w:num w:numId="13">
    <w:abstractNumId w:val="13"/>
  </w:num>
  <w:num w:numId="14">
    <w:abstractNumId w:val="17"/>
  </w:num>
  <w:num w:numId="15">
    <w:abstractNumId w:val="5"/>
  </w:num>
  <w:num w:numId="16">
    <w:abstractNumId w:val="11"/>
  </w:num>
  <w:num w:numId="17">
    <w:abstractNumId w:val="0"/>
  </w:num>
  <w:num w:numId="18">
    <w:abstractNumId w:val="1"/>
  </w:num>
  <w:num w:numId="19">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9BB"/>
    <w:rsid w:val="000059D0"/>
    <w:rsid w:val="000063C5"/>
    <w:rsid w:val="00006F04"/>
    <w:rsid w:val="00007ADA"/>
    <w:rsid w:val="00010258"/>
    <w:rsid w:val="00010C4B"/>
    <w:rsid w:val="00010CAC"/>
    <w:rsid w:val="00010E18"/>
    <w:rsid w:val="00010F2C"/>
    <w:rsid w:val="000116BD"/>
    <w:rsid w:val="00012217"/>
    <w:rsid w:val="000122DC"/>
    <w:rsid w:val="000128D2"/>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945"/>
    <w:rsid w:val="00022BE0"/>
    <w:rsid w:val="00023EFE"/>
    <w:rsid w:val="00023F5A"/>
    <w:rsid w:val="0002475A"/>
    <w:rsid w:val="0002589A"/>
    <w:rsid w:val="00025907"/>
    <w:rsid w:val="00025FE8"/>
    <w:rsid w:val="00026262"/>
    <w:rsid w:val="0002648D"/>
    <w:rsid w:val="00026904"/>
    <w:rsid w:val="00026A59"/>
    <w:rsid w:val="00026DA3"/>
    <w:rsid w:val="00026F5D"/>
    <w:rsid w:val="0002723D"/>
    <w:rsid w:val="00027460"/>
    <w:rsid w:val="00027E1B"/>
    <w:rsid w:val="00027EBB"/>
    <w:rsid w:val="000301E7"/>
    <w:rsid w:val="00030386"/>
    <w:rsid w:val="00031165"/>
    <w:rsid w:val="00031CC0"/>
    <w:rsid w:val="0003252F"/>
    <w:rsid w:val="00032561"/>
    <w:rsid w:val="000326E2"/>
    <w:rsid w:val="00033398"/>
    <w:rsid w:val="00033827"/>
    <w:rsid w:val="00033AC7"/>
    <w:rsid w:val="00033DFA"/>
    <w:rsid w:val="00033F47"/>
    <w:rsid w:val="00034F28"/>
    <w:rsid w:val="0003564D"/>
    <w:rsid w:val="00035AE2"/>
    <w:rsid w:val="000361FD"/>
    <w:rsid w:val="000368DA"/>
    <w:rsid w:val="000402AB"/>
    <w:rsid w:val="000412FD"/>
    <w:rsid w:val="000413D5"/>
    <w:rsid w:val="00041AF5"/>
    <w:rsid w:val="0004270D"/>
    <w:rsid w:val="00042E11"/>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2143"/>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61DE"/>
    <w:rsid w:val="00076D24"/>
    <w:rsid w:val="000778A7"/>
    <w:rsid w:val="00077DCD"/>
    <w:rsid w:val="00077F33"/>
    <w:rsid w:val="00080C3A"/>
    <w:rsid w:val="00080E45"/>
    <w:rsid w:val="00081D13"/>
    <w:rsid w:val="00082230"/>
    <w:rsid w:val="0008285B"/>
    <w:rsid w:val="000834ED"/>
    <w:rsid w:val="00083DF5"/>
    <w:rsid w:val="000848C0"/>
    <w:rsid w:val="0008501B"/>
    <w:rsid w:val="00085AC1"/>
    <w:rsid w:val="00085B28"/>
    <w:rsid w:val="00085C18"/>
    <w:rsid w:val="000860C0"/>
    <w:rsid w:val="0008727B"/>
    <w:rsid w:val="0008742B"/>
    <w:rsid w:val="00087852"/>
    <w:rsid w:val="00087911"/>
    <w:rsid w:val="00087D25"/>
    <w:rsid w:val="00087F65"/>
    <w:rsid w:val="0009044A"/>
    <w:rsid w:val="00091FF1"/>
    <w:rsid w:val="000923CF"/>
    <w:rsid w:val="000928E3"/>
    <w:rsid w:val="000928ED"/>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6621"/>
    <w:rsid w:val="000B6E22"/>
    <w:rsid w:val="000B7302"/>
    <w:rsid w:val="000B73D6"/>
    <w:rsid w:val="000B770A"/>
    <w:rsid w:val="000B7DC7"/>
    <w:rsid w:val="000B7F2C"/>
    <w:rsid w:val="000C00A2"/>
    <w:rsid w:val="000C0293"/>
    <w:rsid w:val="000C1636"/>
    <w:rsid w:val="000C28E8"/>
    <w:rsid w:val="000C2EF7"/>
    <w:rsid w:val="000C322C"/>
    <w:rsid w:val="000C34E9"/>
    <w:rsid w:val="000C3874"/>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C7C"/>
    <w:rsid w:val="000D02AA"/>
    <w:rsid w:val="000D1288"/>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783"/>
    <w:rsid w:val="000E692C"/>
    <w:rsid w:val="000E6C16"/>
    <w:rsid w:val="000E71E1"/>
    <w:rsid w:val="000E79C6"/>
    <w:rsid w:val="000F031A"/>
    <w:rsid w:val="000F0576"/>
    <w:rsid w:val="000F0E69"/>
    <w:rsid w:val="000F0F33"/>
    <w:rsid w:val="000F1736"/>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31AD"/>
    <w:rsid w:val="00123389"/>
    <w:rsid w:val="00123816"/>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79B"/>
    <w:rsid w:val="001318F6"/>
    <w:rsid w:val="00131AC9"/>
    <w:rsid w:val="00131CC8"/>
    <w:rsid w:val="00131F11"/>
    <w:rsid w:val="00132B1C"/>
    <w:rsid w:val="00133EB9"/>
    <w:rsid w:val="001348D2"/>
    <w:rsid w:val="00134F93"/>
    <w:rsid w:val="0013512A"/>
    <w:rsid w:val="00135141"/>
    <w:rsid w:val="00135898"/>
    <w:rsid w:val="00135C70"/>
    <w:rsid w:val="00136B9F"/>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51FD"/>
    <w:rsid w:val="00155826"/>
    <w:rsid w:val="001562F2"/>
    <w:rsid w:val="00156DDB"/>
    <w:rsid w:val="00156FA1"/>
    <w:rsid w:val="0015714C"/>
    <w:rsid w:val="00157C9C"/>
    <w:rsid w:val="001601FD"/>
    <w:rsid w:val="0016089E"/>
    <w:rsid w:val="00160B74"/>
    <w:rsid w:val="0016195F"/>
    <w:rsid w:val="001620DA"/>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2067"/>
    <w:rsid w:val="00172515"/>
    <w:rsid w:val="001736B8"/>
    <w:rsid w:val="00173B5D"/>
    <w:rsid w:val="0017474B"/>
    <w:rsid w:val="00174C11"/>
    <w:rsid w:val="00174C72"/>
    <w:rsid w:val="00175090"/>
    <w:rsid w:val="001760EC"/>
    <w:rsid w:val="00176259"/>
    <w:rsid w:val="0017653B"/>
    <w:rsid w:val="0017660B"/>
    <w:rsid w:val="00176AED"/>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913A3"/>
    <w:rsid w:val="00191FEC"/>
    <w:rsid w:val="00192276"/>
    <w:rsid w:val="00192CF8"/>
    <w:rsid w:val="001933B6"/>
    <w:rsid w:val="00193508"/>
    <w:rsid w:val="00193752"/>
    <w:rsid w:val="00193AB2"/>
    <w:rsid w:val="00193E73"/>
    <w:rsid w:val="001942FD"/>
    <w:rsid w:val="0019558C"/>
    <w:rsid w:val="0019588B"/>
    <w:rsid w:val="00196522"/>
    <w:rsid w:val="001967B5"/>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FAC"/>
    <w:rsid w:val="001A652B"/>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B8D"/>
    <w:rsid w:val="001B3BC3"/>
    <w:rsid w:val="001B4001"/>
    <w:rsid w:val="001B46E7"/>
    <w:rsid w:val="001B4F8C"/>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34DC"/>
    <w:rsid w:val="001C37A9"/>
    <w:rsid w:val="001C389D"/>
    <w:rsid w:val="001C4141"/>
    <w:rsid w:val="001C4764"/>
    <w:rsid w:val="001C4B3F"/>
    <w:rsid w:val="001C562B"/>
    <w:rsid w:val="001C5661"/>
    <w:rsid w:val="001C5822"/>
    <w:rsid w:val="001C614F"/>
    <w:rsid w:val="001C650E"/>
    <w:rsid w:val="001C6572"/>
    <w:rsid w:val="001C66BA"/>
    <w:rsid w:val="001C7A02"/>
    <w:rsid w:val="001D1093"/>
    <w:rsid w:val="001D109F"/>
    <w:rsid w:val="001D1BDA"/>
    <w:rsid w:val="001D1C24"/>
    <w:rsid w:val="001D1C95"/>
    <w:rsid w:val="001D1F10"/>
    <w:rsid w:val="001D200C"/>
    <w:rsid w:val="001D272D"/>
    <w:rsid w:val="001D3743"/>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299"/>
    <w:rsid w:val="001E36E8"/>
    <w:rsid w:val="001E399C"/>
    <w:rsid w:val="001E3ABE"/>
    <w:rsid w:val="001E3B64"/>
    <w:rsid w:val="001E4374"/>
    <w:rsid w:val="001E4987"/>
    <w:rsid w:val="001E4AE1"/>
    <w:rsid w:val="001E5048"/>
    <w:rsid w:val="001E5665"/>
    <w:rsid w:val="001E5D78"/>
    <w:rsid w:val="001E6112"/>
    <w:rsid w:val="001E6381"/>
    <w:rsid w:val="001E6C10"/>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46BB"/>
    <w:rsid w:val="00234D85"/>
    <w:rsid w:val="00235640"/>
    <w:rsid w:val="002357ED"/>
    <w:rsid w:val="0023619D"/>
    <w:rsid w:val="002363C6"/>
    <w:rsid w:val="00236ED7"/>
    <w:rsid w:val="00237480"/>
    <w:rsid w:val="00237506"/>
    <w:rsid w:val="002402E8"/>
    <w:rsid w:val="00240848"/>
    <w:rsid w:val="00240923"/>
    <w:rsid w:val="00240F0B"/>
    <w:rsid w:val="002410C7"/>
    <w:rsid w:val="0024120C"/>
    <w:rsid w:val="002415BD"/>
    <w:rsid w:val="00241962"/>
    <w:rsid w:val="00241D80"/>
    <w:rsid w:val="00243513"/>
    <w:rsid w:val="00243F07"/>
    <w:rsid w:val="00244C32"/>
    <w:rsid w:val="00244D1C"/>
    <w:rsid w:val="00244E1F"/>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C8"/>
    <w:rsid w:val="0025430D"/>
    <w:rsid w:val="00254398"/>
    <w:rsid w:val="00254B95"/>
    <w:rsid w:val="00254D53"/>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4365"/>
    <w:rsid w:val="002648C1"/>
    <w:rsid w:val="0026504E"/>
    <w:rsid w:val="00265611"/>
    <w:rsid w:val="00265651"/>
    <w:rsid w:val="002659FE"/>
    <w:rsid w:val="0026615E"/>
    <w:rsid w:val="00266408"/>
    <w:rsid w:val="00266639"/>
    <w:rsid w:val="002668F6"/>
    <w:rsid w:val="00266CA1"/>
    <w:rsid w:val="00266D04"/>
    <w:rsid w:val="00266EF6"/>
    <w:rsid w:val="002679B8"/>
    <w:rsid w:val="00267B88"/>
    <w:rsid w:val="00267E9F"/>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6207"/>
    <w:rsid w:val="002863D5"/>
    <w:rsid w:val="00286658"/>
    <w:rsid w:val="0028694F"/>
    <w:rsid w:val="00286E36"/>
    <w:rsid w:val="002901F4"/>
    <w:rsid w:val="002913B8"/>
    <w:rsid w:val="002915B7"/>
    <w:rsid w:val="00291E51"/>
    <w:rsid w:val="002923DB"/>
    <w:rsid w:val="002928F7"/>
    <w:rsid w:val="00292D6B"/>
    <w:rsid w:val="00293F42"/>
    <w:rsid w:val="00293F5E"/>
    <w:rsid w:val="00294064"/>
    <w:rsid w:val="002941B6"/>
    <w:rsid w:val="002947C2"/>
    <w:rsid w:val="002954A3"/>
    <w:rsid w:val="00295820"/>
    <w:rsid w:val="00295B7A"/>
    <w:rsid w:val="00295E28"/>
    <w:rsid w:val="0029621D"/>
    <w:rsid w:val="00296CC1"/>
    <w:rsid w:val="00296E6B"/>
    <w:rsid w:val="00297451"/>
    <w:rsid w:val="002A17A3"/>
    <w:rsid w:val="002A1EF2"/>
    <w:rsid w:val="002A1FAF"/>
    <w:rsid w:val="002A2166"/>
    <w:rsid w:val="002A23C5"/>
    <w:rsid w:val="002A23C8"/>
    <w:rsid w:val="002A2993"/>
    <w:rsid w:val="002A3E86"/>
    <w:rsid w:val="002A41AA"/>
    <w:rsid w:val="002A4264"/>
    <w:rsid w:val="002A5AEB"/>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86C"/>
    <w:rsid w:val="002D5E3C"/>
    <w:rsid w:val="002D64FC"/>
    <w:rsid w:val="002D65C7"/>
    <w:rsid w:val="002D6B69"/>
    <w:rsid w:val="002D6BDE"/>
    <w:rsid w:val="002D7685"/>
    <w:rsid w:val="002E01D7"/>
    <w:rsid w:val="002E0753"/>
    <w:rsid w:val="002E092D"/>
    <w:rsid w:val="002E0C61"/>
    <w:rsid w:val="002E0CAF"/>
    <w:rsid w:val="002E1055"/>
    <w:rsid w:val="002E17D8"/>
    <w:rsid w:val="002E2623"/>
    <w:rsid w:val="002E3C54"/>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99D"/>
    <w:rsid w:val="00302FC2"/>
    <w:rsid w:val="00303113"/>
    <w:rsid w:val="00303418"/>
    <w:rsid w:val="003036A1"/>
    <w:rsid w:val="00303D7A"/>
    <w:rsid w:val="003049BE"/>
    <w:rsid w:val="00304F87"/>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5294"/>
    <w:rsid w:val="00315554"/>
    <w:rsid w:val="003157EA"/>
    <w:rsid w:val="0031609C"/>
    <w:rsid w:val="00316758"/>
    <w:rsid w:val="00316E2C"/>
    <w:rsid w:val="00317CBE"/>
    <w:rsid w:val="00317EAC"/>
    <w:rsid w:val="003206FE"/>
    <w:rsid w:val="003209EC"/>
    <w:rsid w:val="00320B8D"/>
    <w:rsid w:val="0032123A"/>
    <w:rsid w:val="00321B37"/>
    <w:rsid w:val="00321CF9"/>
    <w:rsid w:val="00322018"/>
    <w:rsid w:val="003226DF"/>
    <w:rsid w:val="00322851"/>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5C1"/>
    <w:rsid w:val="003467EC"/>
    <w:rsid w:val="003475CD"/>
    <w:rsid w:val="00347818"/>
    <w:rsid w:val="00350393"/>
    <w:rsid w:val="00350E88"/>
    <w:rsid w:val="00350F2A"/>
    <w:rsid w:val="00351204"/>
    <w:rsid w:val="00351816"/>
    <w:rsid w:val="00351D18"/>
    <w:rsid w:val="003527B2"/>
    <w:rsid w:val="003529B8"/>
    <w:rsid w:val="00352D4E"/>
    <w:rsid w:val="00352EED"/>
    <w:rsid w:val="00353C93"/>
    <w:rsid w:val="0035466A"/>
    <w:rsid w:val="0035574C"/>
    <w:rsid w:val="00355B94"/>
    <w:rsid w:val="00355CCD"/>
    <w:rsid w:val="00355E14"/>
    <w:rsid w:val="0035625A"/>
    <w:rsid w:val="0035628B"/>
    <w:rsid w:val="003566FF"/>
    <w:rsid w:val="00356AE9"/>
    <w:rsid w:val="00356C29"/>
    <w:rsid w:val="00357B38"/>
    <w:rsid w:val="00360495"/>
    <w:rsid w:val="0036082C"/>
    <w:rsid w:val="00360920"/>
    <w:rsid w:val="00360CF3"/>
    <w:rsid w:val="003610D3"/>
    <w:rsid w:val="0036125F"/>
    <w:rsid w:val="0036194D"/>
    <w:rsid w:val="00362438"/>
    <w:rsid w:val="00362632"/>
    <w:rsid w:val="00362CA4"/>
    <w:rsid w:val="0036344B"/>
    <w:rsid w:val="00363852"/>
    <w:rsid w:val="00363A78"/>
    <w:rsid w:val="00363AD3"/>
    <w:rsid w:val="00364053"/>
    <w:rsid w:val="003648ED"/>
    <w:rsid w:val="00364D17"/>
    <w:rsid w:val="00364D7D"/>
    <w:rsid w:val="003656DA"/>
    <w:rsid w:val="00365743"/>
    <w:rsid w:val="00365767"/>
    <w:rsid w:val="00366A81"/>
    <w:rsid w:val="00366B97"/>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868"/>
    <w:rsid w:val="00382D5F"/>
    <w:rsid w:val="00382FB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50DD"/>
    <w:rsid w:val="0039517B"/>
    <w:rsid w:val="003951DB"/>
    <w:rsid w:val="00395A69"/>
    <w:rsid w:val="00395F3C"/>
    <w:rsid w:val="0039607A"/>
    <w:rsid w:val="0039612B"/>
    <w:rsid w:val="00396825"/>
    <w:rsid w:val="00397B4D"/>
    <w:rsid w:val="00397D43"/>
    <w:rsid w:val="003A08A7"/>
    <w:rsid w:val="003A1B19"/>
    <w:rsid w:val="003A1B2D"/>
    <w:rsid w:val="003A330F"/>
    <w:rsid w:val="003A3793"/>
    <w:rsid w:val="003A469E"/>
    <w:rsid w:val="003A4876"/>
    <w:rsid w:val="003A48D5"/>
    <w:rsid w:val="003A5662"/>
    <w:rsid w:val="003A5AB5"/>
    <w:rsid w:val="003A609A"/>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FD4"/>
    <w:rsid w:val="003B477E"/>
    <w:rsid w:val="003B4FEF"/>
    <w:rsid w:val="003B4FFE"/>
    <w:rsid w:val="003B5182"/>
    <w:rsid w:val="003B5239"/>
    <w:rsid w:val="003B52B0"/>
    <w:rsid w:val="003B5923"/>
    <w:rsid w:val="003B5F06"/>
    <w:rsid w:val="003B6788"/>
    <w:rsid w:val="003B7022"/>
    <w:rsid w:val="003B7116"/>
    <w:rsid w:val="003B7478"/>
    <w:rsid w:val="003B7809"/>
    <w:rsid w:val="003B7A73"/>
    <w:rsid w:val="003B7D4B"/>
    <w:rsid w:val="003B7D8B"/>
    <w:rsid w:val="003C0C25"/>
    <w:rsid w:val="003C0DDE"/>
    <w:rsid w:val="003C23ED"/>
    <w:rsid w:val="003C2545"/>
    <w:rsid w:val="003C29FD"/>
    <w:rsid w:val="003C3A38"/>
    <w:rsid w:val="003C3C8B"/>
    <w:rsid w:val="003C52D2"/>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2670"/>
    <w:rsid w:val="003E3722"/>
    <w:rsid w:val="003E3882"/>
    <w:rsid w:val="003E3BB1"/>
    <w:rsid w:val="003E4724"/>
    <w:rsid w:val="003E5859"/>
    <w:rsid w:val="003E5CD9"/>
    <w:rsid w:val="003E659A"/>
    <w:rsid w:val="003E67A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AB"/>
    <w:rsid w:val="004029DE"/>
    <w:rsid w:val="0040356F"/>
    <w:rsid w:val="004035EE"/>
    <w:rsid w:val="00403FE8"/>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B81"/>
    <w:rsid w:val="00414DE3"/>
    <w:rsid w:val="00415154"/>
    <w:rsid w:val="00415298"/>
    <w:rsid w:val="00415D8B"/>
    <w:rsid w:val="0041639D"/>
    <w:rsid w:val="004163E0"/>
    <w:rsid w:val="0041657B"/>
    <w:rsid w:val="00416AA0"/>
    <w:rsid w:val="00417836"/>
    <w:rsid w:val="004201F9"/>
    <w:rsid w:val="0042030F"/>
    <w:rsid w:val="0042092C"/>
    <w:rsid w:val="0042164F"/>
    <w:rsid w:val="00421EB0"/>
    <w:rsid w:val="00422956"/>
    <w:rsid w:val="00422B31"/>
    <w:rsid w:val="00423618"/>
    <w:rsid w:val="004239DF"/>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28C3"/>
    <w:rsid w:val="00442DA2"/>
    <w:rsid w:val="00442FA8"/>
    <w:rsid w:val="00443076"/>
    <w:rsid w:val="004431B5"/>
    <w:rsid w:val="004442A4"/>
    <w:rsid w:val="004446E5"/>
    <w:rsid w:val="00444DA8"/>
    <w:rsid w:val="00444EA5"/>
    <w:rsid w:val="004453CF"/>
    <w:rsid w:val="00445828"/>
    <w:rsid w:val="00445B93"/>
    <w:rsid w:val="00445CEA"/>
    <w:rsid w:val="00445FB2"/>
    <w:rsid w:val="00447967"/>
    <w:rsid w:val="004508E8"/>
    <w:rsid w:val="00450C01"/>
    <w:rsid w:val="004514B4"/>
    <w:rsid w:val="004518E0"/>
    <w:rsid w:val="00452487"/>
    <w:rsid w:val="004529AD"/>
    <w:rsid w:val="00452BB4"/>
    <w:rsid w:val="00452D22"/>
    <w:rsid w:val="00453086"/>
    <w:rsid w:val="00453204"/>
    <w:rsid w:val="004549EC"/>
    <w:rsid w:val="00454BDE"/>
    <w:rsid w:val="00454C79"/>
    <w:rsid w:val="00454D5C"/>
    <w:rsid w:val="00456656"/>
    <w:rsid w:val="00456E9B"/>
    <w:rsid w:val="00457955"/>
    <w:rsid w:val="00457FF1"/>
    <w:rsid w:val="00461450"/>
    <w:rsid w:val="00461C89"/>
    <w:rsid w:val="00461D1B"/>
    <w:rsid w:val="00461DBE"/>
    <w:rsid w:val="004622F2"/>
    <w:rsid w:val="00462353"/>
    <w:rsid w:val="004625F7"/>
    <w:rsid w:val="00462940"/>
    <w:rsid w:val="00462A57"/>
    <w:rsid w:val="004631AC"/>
    <w:rsid w:val="00463759"/>
    <w:rsid w:val="00463D83"/>
    <w:rsid w:val="00463EC0"/>
    <w:rsid w:val="0046566A"/>
    <w:rsid w:val="00465AE3"/>
    <w:rsid w:val="00466188"/>
    <w:rsid w:val="0046639A"/>
    <w:rsid w:val="00466525"/>
    <w:rsid w:val="004666B6"/>
    <w:rsid w:val="004673A8"/>
    <w:rsid w:val="004676DC"/>
    <w:rsid w:val="004679A1"/>
    <w:rsid w:val="00467B58"/>
    <w:rsid w:val="00470EA7"/>
    <w:rsid w:val="00471190"/>
    <w:rsid w:val="004711EF"/>
    <w:rsid w:val="00472523"/>
    <w:rsid w:val="00472760"/>
    <w:rsid w:val="00473001"/>
    <w:rsid w:val="004737E6"/>
    <w:rsid w:val="004744F8"/>
    <w:rsid w:val="00474557"/>
    <w:rsid w:val="0047468C"/>
    <w:rsid w:val="00474E3C"/>
    <w:rsid w:val="0047518D"/>
    <w:rsid w:val="00475B51"/>
    <w:rsid w:val="00475E71"/>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2EF"/>
    <w:rsid w:val="00486982"/>
    <w:rsid w:val="004879E3"/>
    <w:rsid w:val="00487D57"/>
    <w:rsid w:val="00490145"/>
    <w:rsid w:val="0049028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877"/>
    <w:rsid w:val="00497F51"/>
    <w:rsid w:val="004A047F"/>
    <w:rsid w:val="004A075E"/>
    <w:rsid w:val="004A0793"/>
    <w:rsid w:val="004A08E9"/>
    <w:rsid w:val="004A0A2F"/>
    <w:rsid w:val="004A11BD"/>
    <w:rsid w:val="004A21D0"/>
    <w:rsid w:val="004A2919"/>
    <w:rsid w:val="004A2EB7"/>
    <w:rsid w:val="004A2F73"/>
    <w:rsid w:val="004A3533"/>
    <w:rsid w:val="004A3883"/>
    <w:rsid w:val="004A5643"/>
    <w:rsid w:val="004A5793"/>
    <w:rsid w:val="004A5D34"/>
    <w:rsid w:val="004A62D4"/>
    <w:rsid w:val="004A6954"/>
    <w:rsid w:val="004A69EE"/>
    <w:rsid w:val="004A6DDD"/>
    <w:rsid w:val="004A7295"/>
    <w:rsid w:val="004A72C0"/>
    <w:rsid w:val="004A79C4"/>
    <w:rsid w:val="004B01C9"/>
    <w:rsid w:val="004B05DB"/>
    <w:rsid w:val="004B0A57"/>
    <w:rsid w:val="004B0D02"/>
    <w:rsid w:val="004B0DA5"/>
    <w:rsid w:val="004B153D"/>
    <w:rsid w:val="004B166A"/>
    <w:rsid w:val="004B170F"/>
    <w:rsid w:val="004B17EB"/>
    <w:rsid w:val="004B1BF1"/>
    <w:rsid w:val="004B1D2E"/>
    <w:rsid w:val="004B1D66"/>
    <w:rsid w:val="004B1EEB"/>
    <w:rsid w:val="004B1F64"/>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3ADB"/>
    <w:rsid w:val="004D3C23"/>
    <w:rsid w:val="004D3D59"/>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23A7"/>
    <w:rsid w:val="004E2554"/>
    <w:rsid w:val="004E289D"/>
    <w:rsid w:val="004E2C5F"/>
    <w:rsid w:val="004E2ED8"/>
    <w:rsid w:val="004E2F89"/>
    <w:rsid w:val="004E31BC"/>
    <w:rsid w:val="004E3817"/>
    <w:rsid w:val="004E4A35"/>
    <w:rsid w:val="004E5418"/>
    <w:rsid w:val="004E585B"/>
    <w:rsid w:val="004E6B02"/>
    <w:rsid w:val="004E70A9"/>
    <w:rsid w:val="004E76F5"/>
    <w:rsid w:val="004F0970"/>
    <w:rsid w:val="004F16E2"/>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65"/>
    <w:rsid w:val="00505094"/>
    <w:rsid w:val="00505528"/>
    <w:rsid w:val="005059E2"/>
    <w:rsid w:val="00505C31"/>
    <w:rsid w:val="00505CC2"/>
    <w:rsid w:val="005062A9"/>
    <w:rsid w:val="00506764"/>
    <w:rsid w:val="0050723A"/>
    <w:rsid w:val="00507262"/>
    <w:rsid w:val="005073C6"/>
    <w:rsid w:val="005074DF"/>
    <w:rsid w:val="00507593"/>
    <w:rsid w:val="00507AD8"/>
    <w:rsid w:val="0051016B"/>
    <w:rsid w:val="005102E6"/>
    <w:rsid w:val="00510B56"/>
    <w:rsid w:val="00511565"/>
    <w:rsid w:val="00511CD1"/>
    <w:rsid w:val="005122D8"/>
    <w:rsid w:val="00512D6A"/>
    <w:rsid w:val="00512E5E"/>
    <w:rsid w:val="00513006"/>
    <w:rsid w:val="005135EA"/>
    <w:rsid w:val="00513698"/>
    <w:rsid w:val="0051390A"/>
    <w:rsid w:val="00514955"/>
    <w:rsid w:val="00514ABA"/>
    <w:rsid w:val="00514B76"/>
    <w:rsid w:val="00514C5A"/>
    <w:rsid w:val="00514C6D"/>
    <w:rsid w:val="00514D8A"/>
    <w:rsid w:val="00514F6B"/>
    <w:rsid w:val="00516146"/>
    <w:rsid w:val="005161A9"/>
    <w:rsid w:val="00516384"/>
    <w:rsid w:val="005173F8"/>
    <w:rsid w:val="0051792A"/>
    <w:rsid w:val="00517B5C"/>
    <w:rsid w:val="00517E6C"/>
    <w:rsid w:val="00517EC9"/>
    <w:rsid w:val="00517F09"/>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100C"/>
    <w:rsid w:val="005311DD"/>
    <w:rsid w:val="00531227"/>
    <w:rsid w:val="00531682"/>
    <w:rsid w:val="005317BE"/>
    <w:rsid w:val="005320E2"/>
    <w:rsid w:val="00532738"/>
    <w:rsid w:val="00532F87"/>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352E"/>
    <w:rsid w:val="0054466D"/>
    <w:rsid w:val="005447C4"/>
    <w:rsid w:val="005452E2"/>
    <w:rsid w:val="00545F72"/>
    <w:rsid w:val="005468DA"/>
    <w:rsid w:val="005468EB"/>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E2F"/>
    <w:rsid w:val="00556EF2"/>
    <w:rsid w:val="00556FE4"/>
    <w:rsid w:val="00557E84"/>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4"/>
    <w:rsid w:val="005902F9"/>
    <w:rsid w:val="00590909"/>
    <w:rsid w:val="00590995"/>
    <w:rsid w:val="00590A54"/>
    <w:rsid w:val="00591628"/>
    <w:rsid w:val="00591961"/>
    <w:rsid w:val="005929A6"/>
    <w:rsid w:val="00593D23"/>
    <w:rsid w:val="00594762"/>
    <w:rsid w:val="00595820"/>
    <w:rsid w:val="00595D9B"/>
    <w:rsid w:val="00596E62"/>
    <w:rsid w:val="00596F26"/>
    <w:rsid w:val="00597401"/>
    <w:rsid w:val="00597C42"/>
    <w:rsid w:val="005A1B4F"/>
    <w:rsid w:val="005A1E82"/>
    <w:rsid w:val="005A1E97"/>
    <w:rsid w:val="005A2454"/>
    <w:rsid w:val="005A27A8"/>
    <w:rsid w:val="005A2A9B"/>
    <w:rsid w:val="005A3CCD"/>
    <w:rsid w:val="005A40A1"/>
    <w:rsid w:val="005A445E"/>
    <w:rsid w:val="005A4A78"/>
    <w:rsid w:val="005A684B"/>
    <w:rsid w:val="005A6AB6"/>
    <w:rsid w:val="005A6AD0"/>
    <w:rsid w:val="005B05C2"/>
    <w:rsid w:val="005B0B42"/>
    <w:rsid w:val="005B0FD6"/>
    <w:rsid w:val="005B15C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20D4"/>
    <w:rsid w:val="005C2330"/>
    <w:rsid w:val="005C25A5"/>
    <w:rsid w:val="005C2DDB"/>
    <w:rsid w:val="005C319B"/>
    <w:rsid w:val="005C44DB"/>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10A4"/>
    <w:rsid w:val="00602E3A"/>
    <w:rsid w:val="00603302"/>
    <w:rsid w:val="006034A7"/>
    <w:rsid w:val="00603F0A"/>
    <w:rsid w:val="00604275"/>
    <w:rsid w:val="00604673"/>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A0"/>
    <w:rsid w:val="00612298"/>
    <w:rsid w:val="0061247F"/>
    <w:rsid w:val="006127A9"/>
    <w:rsid w:val="00612863"/>
    <w:rsid w:val="006134E7"/>
    <w:rsid w:val="00613D72"/>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40F9"/>
    <w:rsid w:val="006243CF"/>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61"/>
    <w:rsid w:val="0063224E"/>
    <w:rsid w:val="00632E8A"/>
    <w:rsid w:val="006331FF"/>
    <w:rsid w:val="00633363"/>
    <w:rsid w:val="00633CB5"/>
    <w:rsid w:val="00634B66"/>
    <w:rsid w:val="00634BD4"/>
    <w:rsid w:val="0063525A"/>
    <w:rsid w:val="00635369"/>
    <w:rsid w:val="00635498"/>
    <w:rsid w:val="006358BA"/>
    <w:rsid w:val="006358D6"/>
    <w:rsid w:val="006358FE"/>
    <w:rsid w:val="006365C0"/>
    <w:rsid w:val="006368D3"/>
    <w:rsid w:val="00637A9A"/>
    <w:rsid w:val="006405FA"/>
    <w:rsid w:val="00640DFF"/>
    <w:rsid w:val="006415C2"/>
    <w:rsid w:val="006418C7"/>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50FA"/>
    <w:rsid w:val="006755C2"/>
    <w:rsid w:val="00675884"/>
    <w:rsid w:val="00675BE2"/>
    <w:rsid w:val="00675C27"/>
    <w:rsid w:val="00675F92"/>
    <w:rsid w:val="0067691F"/>
    <w:rsid w:val="006772B6"/>
    <w:rsid w:val="00677371"/>
    <w:rsid w:val="0067751B"/>
    <w:rsid w:val="0067772D"/>
    <w:rsid w:val="006804F6"/>
    <w:rsid w:val="00680ACD"/>
    <w:rsid w:val="00680C3B"/>
    <w:rsid w:val="00680F3F"/>
    <w:rsid w:val="00681288"/>
    <w:rsid w:val="00681722"/>
    <w:rsid w:val="00681CA6"/>
    <w:rsid w:val="00681D01"/>
    <w:rsid w:val="00681F73"/>
    <w:rsid w:val="00681F76"/>
    <w:rsid w:val="00682042"/>
    <w:rsid w:val="00682623"/>
    <w:rsid w:val="00682A8F"/>
    <w:rsid w:val="00682C84"/>
    <w:rsid w:val="006830FA"/>
    <w:rsid w:val="006831A5"/>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121E"/>
    <w:rsid w:val="00691346"/>
    <w:rsid w:val="00691BD5"/>
    <w:rsid w:val="006920DB"/>
    <w:rsid w:val="006926BC"/>
    <w:rsid w:val="006930A3"/>
    <w:rsid w:val="006933C9"/>
    <w:rsid w:val="0069348D"/>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6A7"/>
    <w:rsid w:val="006A4A4E"/>
    <w:rsid w:val="006A5591"/>
    <w:rsid w:val="006A5C86"/>
    <w:rsid w:val="006A60DA"/>
    <w:rsid w:val="006A657D"/>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B8C"/>
    <w:rsid w:val="006C316D"/>
    <w:rsid w:val="006C3804"/>
    <w:rsid w:val="006C3E81"/>
    <w:rsid w:val="006C3F0A"/>
    <w:rsid w:val="006C43FA"/>
    <w:rsid w:val="006C494D"/>
    <w:rsid w:val="006C5272"/>
    <w:rsid w:val="006C53AF"/>
    <w:rsid w:val="006C544C"/>
    <w:rsid w:val="006C5695"/>
    <w:rsid w:val="006C59F3"/>
    <w:rsid w:val="006C5F53"/>
    <w:rsid w:val="006C6251"/>
    <w:rsid w:val="006C64E5"/>
    <w:rsid w:val="006C69F1"/>
    <w:rsid w:val="006C6AD9"/>
    <w:rsid w:val="006C6D75"/>
    <w:rsid w:val="006C70F4"/>
    <w:rsid w:val="006C7C26"/>
    <w:rsid w:val="006D05A3"/>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A64"/>
    <w:rsid w:val="006F73DC"/>
    <w:rsid w:val="006F771D"/>
    <w:rsid w:val="007002D7"/>
    <w:rsid w:val="00700D3F"/>
    <w:rsid w:val="00700FC3"/>
    <w:rsid w:val="00701041"/>
    <w:rsid w:val="00701AE6"/>
    <w:rsid w:val="00701E48"/>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70F5"/>
    <w:rsid w:val="007072D9"/>
    <w:rsid w:val="00707BD2"/>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909"/>
    <w:rsid w:val="00716B79"/>
    <w:rsid w:val="00717DA6"/>
    <w:rsid w:val="00720226"/>
    <w:rsid w:val="00721145"/>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609"/>
    <w:rsid w:val="00752990"/>
    <w:rsid w:val="00752B7C"/>
    <w:rsid w:val="007530A6"/>
    <w:rsid w:val="00753156"/>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8C4"/>
    <w:rsid w:val="00775C1B"/>
    <w:rsid w:val="00775C6D"/>
    <w:rsid w:val="00776DF4"/>
    <w:rsid w:val="00777FEA"/>
    <w:rsid w:val="00780234"/>
    <w:rsid w:val="00780611"/>
    <w:rsid w:val="00780B2A"/>
    <w:rsid w:val="00780D9A"/>
    <w:rsid w:val="007810AF"/>
    <w:rsid w:val="00781254"/>
    <w:rsid w:val="00781749"/>
    <w:rsid w:val="007832CA"/>
    <w:rsid w:val="0078393C"/>
    <w:rsid w:val="00783988"/>
    <w:rsid w:val="00783A89"/>
    <w:rsid w:val="007848B7"/>
    <w:rsid w:val="0078495F"/>
    <w:rsid w:val="007854CE"/>
    <w:rsid w:val="007857D8"/>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4F7"/>
    <w:rsid w:val="00791529"/>
    <w:rsid w:val="0079173E"/>
    <w:rsid w:val="00791CB5"/>
    <w:rsid w:val="007923BE"/>
    <w:rsid w:val="007923C3"/>
    <w:rsid w:val="00792B3E"/>
    <w:rsid w:val="00792B7C"/>
    <w:rsid w:val="00792C75"/>
    <w:rsid w:val="00793092"/>
    <w:rsid w:val="00793324"/>
    <w:rsid w:val="00793C1D"/>
    <w:rsid w:val="00793E12"/>
    <w:rsid w:val="007941CF"/>
    <w:rsid w:val="007947EF"/>
    <w:rsid w:val="00794E95"/>
    <w:rsid w:val="00795067"/>
    <w:rsid w:val="0079588D"/>
    <w:rsid w:val="007958B9"/>
    <w:rsid w:val="00795A2C"/>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104"/>
    <w:rsid w:val="007B0CAF"/>
    <w:rsid w:val="007B1026"/>
    <w:rsid w:val="007B1D67"/>
    <w:rsid w:val="007B2EEB"/>
    <w:rsid w:val="007B34A4"/>
    <w:rsid w:val="007B3803"/>
    <w:rsid w:val="007B3E89"/>
    <w:rsid w:val="007B4B86"/>
    <w:rsid w:val="007B4CE1"/>
    <w:rsid w:val="007B668A"/>
    <w:rsid w:val="007B692F"/>
    <w:rsid w:val="007B74A3"/>
    <w:rsid w:val="007B75FE"/>
    <w:rsid w:val="007B7756"/>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81C"/>
    <w:rsid w:val="007D6903"/>
    <w:rsid w:val="007D69DB"/>
    <w:rsid w:val="007D6C92"/>
    <w:rsid w:val="007D6E1E"/>
    <w:rsid w:val="007D726E"/>
    <w:rsid w:val="007D73BB"/>
    <w:rsid w:val="007D77FB"/>
    <w:rsid w:val="007D782C"/>
    <w:rsid w:val="007D79DC"/>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5298"/>
    <w:rsid w:val="007E5849"/>
    <w:rsid w:val="007E5932"/>
    <w:rsid w:val="007E5D47"/>
    <w:rsid w:val="007E5E89"/>
    <w:rsid w:val="007E5F5F"/>
    <w:rsid w:val="007E66C3"/>
    <w:rsid w:val="007E6AEC"/>
    <w:rsid w:val="007E6E66"/>
    <w:rsid w:val="007E7153"/>
    <w:rsid w:val="007E7858"/>
    <w:rsid w:val="007E7E42"/>
    <w:rsid w:val="007E7FA5"/>
    <w:rsid w:val="007F010F"/>
    <w:rsid w:val="007F011F"/>
    <w:rsid w:val="007F1254"/>
    <w:rsid w:val="007F1E2C"/>
    <w:rsid w:val="007F2CE5"/>
    <w:rsid w:val="007F2D82"/>
    <w:rsid w:val="007F3A0F"/>
    <w:rsid w:val="007F43AF"/>
    <w:rsid w:val="007F465B"/>
    <w:rsid w:val="007F4F66"/>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D60"/>
    <w:rsid w:val="00807DB1"/>
    <w:rsid w:val="00807E3B"/>
    <w:rsid w:val="00810015"/>
    <w:rsid w:val="00811546"/>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5B4"/>
    <w:rsid w:val="008216E6"/>
    <w:rsid w:val="00821708"/>
    <w:rsid w:val="008220A4"/>
    <w:rsid w:val="00822CDE"/>
    <w:rsid w:val="00822D4F"/>
    <w:rsid w:val="00822EB2"/>
    <w:rsid w:val="008238C5"/>
    <w:rsid w:val="008238FE"/>
    <w:rsid w:val="0082499C"/>
    <w:rsid w:val="00824B6E"/>
    <w:rsid w:val="008258E0"/>
    <w:rsid w:val="008263F4"/>
    <w:rsid w:val="00826ED5"/>
    <w:rsid w:val="0082779C"/>
    <w:rsid w:val="00830103"/>
    <w:rsid w:val="008307E4"/>
    <w:rsid w:val="00830BAE"/>
    <w:rsid w:val="00830FD0"/>
    <w:rsid w:val="00831007"/>
    <w:rsid w:val="0083105B"/>
    <w:rsid w:val="00831278"/>
    <w:rsid w:val="008314E4"/>
    <w:rsid w:val="00831A43"/>
    <w:rsid w:val="00831E21"/>
    <w:rsid w:val="00832BDE"/>
    <w:rsid w:val="00832ED2"/>
    <w:rsid w:val="00833735"/>
    <w:rsid w:val="00833DC4"/>
    <w:rsid w:val="0083482A"/>
    <w:rsid w:val="00835352"/>
    <w:rsid w:val="00835C6A"/>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3E56"/>
    <w:rsid w:val="008444F9"/>
    <w:rsid w:val="00844EA3"/>
    <w:rsid w:val="00844ED4"/>
    <w:rsid w:val="0084518E"/>
    <w:rsid w:val="00845780"/>
    <w:rsid w:val="00845ED2"/>
    <w:rsid w:val="008463D9"/>
    <w:rsid w:val="008463F6"/>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7A1F"/>
    <w:rsid w:val="00857ABD"/>
    <w:rsid w:val="00857CCB"/>
    <w:rsid w:val="00860325"/>
    <w:rsid w:val="00860762"/>
    <w:rsid w:val="00860B1B"/>
    <w:rsid w:val="00861583"/>
    <w:rsid w:val="008628A0"/>
    <w:rsid w:val="00862A5F"/>
    <w:rsid w:val="00862B09"/>
    <w:rsid w:val="00862CC7"/>
    <w:rsid w:val="00863426"/>
    <w:rsid w:val="00864B8F"/>
    <w:rsid w:val="008654C4"/>
    <w:rsid w:val="0086590A"/>
    <w:rsid w:val="00865D22"/>
    <w:rsid w:val="008666D1"/>
    <w:rsid w:val="00866C67"/>
    <w:rsid w:val="0086722A"/>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C6"/>
    <w:rsid w:val="0088160F"/>
    <w:rsid w:val="00881741"/>
    <w:rsid w:val="008817B1"/>
    <w:rsid w:val="00881C82"/>
    <w:rsid w:val="00881CD3"/>
    <w:rsid w:val="00881D43"/>
    <w:rsid w:val="008826EF"/>
    <w:rsid w:val="008827AD"/>
    <w:rsid w:val="00882882"/>
    <w:rsid w:val="008829FB"/>
    <w:rsid w:val="00883486"/>
    <w:rsid w:val="008838E2"/>
    <w:rsid w:val="00883CED"/>
    <w:rsid w:val="00884BEB"/>
    <w:rsid w:val="0088550C"/>
    <w:rsid w:val="00885D2B"/>
    <w:rsid w:val="00885E26"/>
    <w:rsid w:val="008863CE"/>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851"/>
    <w:rsid w:val="00894877"/>
    <w:rsid w:val="00894906"/>
    <w:rsid w:val="00895049"/>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F40"/>
    <w:rsid w:val="008A1A70"/>
    <w:rsid w:val="008A1E00"/>
    <w:rsid w:val="008A1FDB"/>
    <w:rsid w:val="008A201E"/>
    <w:rsid w:val="008A2041"/>
    <w:rsid w:val="008A2363"/>
    <w:rsid w:val="008A283A"/>
    <w:rsid w:val="008A28CA"/>
    <w:rsid w:val="008A2B9A"/>
    <w:rsid w:val="008A3196"/>
    <w:rsid w:val="008A3368"/>
    <w:rsid w:val="008A3B1E"/>
    <w:rsid w:val="008A3F9C"/>
    <w:rsid w:val="008A478E"/>
    <w:rsid w:val="008A47A3"/>
    <w:rsid w:val="008A4855"/>
    <w:rsid w:val="008A49AA"/>
    <w:rsid w:val="008A4BA8"/>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6315"/>
    <w:rsid w:val="008C7CC9"/>
    <w:rsid w:val="008D07EC"/>
    <w:rsid w:val="008D0AF2"/>
    <w:rsid w:val="008D0F24"/>
    <w:rsid w:val="008D1301"/>
    <w:rsid w:val="008D169B"/>
    <w:rsid w:val="008D201C"/>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BCB"/>
    <w:rsid w:val="008E40CC"/>
    <w:rsid w:val="008E4B3E"/>
    <w:rsid w:val="008E53DF"/>
    <w:rsid w:val="008E5669"/>
    <w:rsid w:val="008E5A0F"/>
    <w:rsid w:val="008E5BC0"/>
    <w:rsid w:val="008E5D59"/>
    <w:rsid w:val="008E6512"/>
    <w:rsid w:val="008E6D6C"/>
    <w:rsid w:val="008E6EF3"/>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1439"/>
    <w:rsid w:val="00901A00"/>
    <w:rsid w:val="00902094"/>
    <w:rsid w:val="0090277E"/>
    <w:rsid w:val="00902F3B"/>
    <w:rsid w:val="009033A2"/>
    <w:rsid w:val="00903626"/>
    <w:rsid w:val="00903BD5"/>
    <w:rsid w:val="009050EC"/>
    <w:rsid w:val="009051EF"/>
    <w:rsid w:val="00905731"/>
    <w:rsid w:val="0090576A"/>
    <w:rsid w:val="00905807"/>
    <w:rsid w:val="00905CFC"/>
    <w:rsid w:val="00906206"/>
    <w:rsid w:val="00906E43"/>
    <w:rsid w:val="0091014E"/>
    <w:rsid w:val="009112E8"/>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ED9"/>
    <w:rsid w:val="0091764F"/>
    <w:rsid w:val="009177C4"/>
    <w:rsid w:val="00920014"/>
    <w:rsid w:val="009206AC"/>
    <w:rsid w:val="009207B4"/>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101D"/>
    <w:rsid w:val="009621D7"/>
    <w:rsid w:val="0096284C"/>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294"/>
    <w:rsid w:val="009676B8"/>
    <w:rsid w:val="009678E8"/>
    <w:rsid w:val="00967EA8"/>
    <w:rsid w:val="00970CB3"/>
    <w:rsid w:val="00970F79"/>
    <w:rsid w:val="0097103A"/>
    <w:rsid w:val="009711E1"/>
    <w:rsid w:val="00971280"/>
    <w:rsid w:val="009722C2"/>
    <w:rsid w:val="00972381"/>
    <w:rsid w:val="0097347A"/>
    <w:rsid w:val="00973F19"/>
    <w:rsid w:val="00974092"/>
    <w:rsid w:val="00974CDE"/>
    <w:rsid w:val="00974E2C"/>
    <w:rsid w:val="009759B0"/>
    <w:rsid w:val="00975D89"/>
    <w:rsid w:val="00977056"/>
    <w:rsid w:val="0097706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C52"/>
    <w:rsid w:val="00987C70"/>
    <w:rsid w:val="00987DF6"/>
    <w:rsid w:val="0099005A"/>
    <w:rsid w:val="0099056B"/>
    <w:rsid w:val="009906EC"/>
    <w:rsid w:val="00990C29"/>
    <w:rsid w:val="00990D67"/>
    <w:rsid w:val="00990DD4"/>
    <w:rsid w:val="00991450"/>
    <w:rsid w:val="009917AE"/>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404"/>
    <w:rsid w:val="009A351F"/>
    <w:rsid w:val="009A4AAC"/>
    <w:rsid w:val="009A5201"/>
    <w:rsid w:val="009A5AC6"/>
    <w:rsid w:val="009A60BB"/>
    <w:rsid w:val="009A6AB4"/>
    <w:rsid w:val="009A70B3"/>
    <w:rsid w:val="009A780E"/>
    <w:rsid w:val="009A781D"/>
    <w:rsid w:val="009A78F4"/>
    <w:rsid w:val="009B0437"/>
    <w:rsid w:val="009B064C"/>
    <w:rsid w:val="009B0807"/>
    <w:rsid w:val="009B097E"/>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23C5"/>
    <w:rsid w:val="009C2445"/>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AF5"/>
    <w:rsid w:val="009E32C6"/>
    <w:rsid w:val="009E33F4"/>
    <w:rsid w:val="009E39C2"/>
    <w:rsid w:val="009E4618"/>
    <w:rsid w:val="009E4F63"/>
    <w:rsid w:val="009E6037"/>
    <w:rsid w:val="009E6373"/>
    <w:rsid w:val="009E7474"/>
    <w:rsid w:val="009E7BC3"/>
    <w:rsid w:val="009F05B8"/>
    <w:rsid w:val="009F0CB4"/>
    <w:rsid w:val="009F0EBF"/>
    <w:rsid w:val="009F140E"/>
    <w:rsid w:val="009F2759"/>
    <w:rsid w:val="009F2B99"/>
    <w:rsid w:val="009F3042"/>
    <w:rsid w:val="009F313C"/>
    <w:rsid w:val="009F3309"/>
    <w:rsid w:val="009F3352"/>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5412"/>
    <w:rsid w:val="00A15C99"/>
    <w:rsid w:val="00A16066"/>
    <w:rsid w:val="00A163B8"/>
    <w:rsid w:val="00A16C22"/>
    <w:rsid w:val="00A16D69"/>
    <w:rsid w:val="00A17682"/>
    <w:rsid w:val="00A17B89"/>
    <w:rsid w:val="00A20760"/>
    <w:rsid w:val="00A20832"/>
    <w:rsid w:val="00A20F0F"/>
    <w:rsid w:val="00A215E8"/>
    <w:rsid w:val="00A21775"/>
    <w:rsid w:val="00A217FC"/>
    <w:rsid w:val="00A22A97"/>
    <w:rsid w:val="00A22E03"/>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BB4"/>
    <w:rsid w:val="00A34BE2"/>
    <w:rsid w:val="00A34DC3"/>
    <w:rsid w:val="00A35D50"/>
    <w:rsid w:val="00A408CD"/>
    <w:rsid w:val="00A413CA"/>
    <w:rsid w:val="00A41695"/>
    <w:rsid w:val="00A42C7F"/>
    <w:rsid w:val="00A42C9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900"/>
    <w:rsid w:val="00AB142D"/>
    <w:rsid w:val="00AB245E"/>
    <w:rsid w:val="00AB355A"/>
    <w:rsid w:val="00AB381A"/>
    <w:rsid w:val="00AB3F41"/>
    <w:rsid w:val="00AB3F86"/>
    <w:rsid w:val="00AB4242"/>
    <w:rsid w:val="00AB44C2"/>
    <w:rsid w:val="00AB452B"/>
    <w:rsid w:val="00AB4A2F"/>
    <w:rsid w:val="00AB4A9B"/>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2074"/>
    <w:rsid w:val="00AD28C5"/>
    <w:rsid w:val="00AD29C1"/>
    <w:rsid w:val="00AD2F7D"/>
    <w:rsid w:val="00AD2FE8"/>
    <w:rsid w:val="00AD31C0"/>
    <w:rsid w:val="00AD3378"/>
    <w:rsid w:val="00AD3733"/>
    <w:rsid w:val="00AD3782"/>
    <w:rsid w:val="00AD3819"/>
    <w:rsid w:val="00AD39D7"/>
    <w:rsid w:val="00AD5183"/>
    <w:rsid w:val="00AD5633"/>
    <w:rsid w:val="00AD57DD"/>
    <w:rsid w:val="00AD6196"/>
    <w:rsid w:val="00AD6249"/>
    <w:rsid w:val="00AD6743"/>
    <w:rsid w:val="00AE0713"/>
    <w:rsid w:val="00AE075C"/>
    <w:rsid w:val="00AE0882"/>
    <w:rsid w:val="00AE0DD0"/>
    <w:rsid w:val="00AE0FC9"/>
    <w:rsid w:val="00AE102C"/>
    <w:rsid w:val="00AE17C7"/>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6B8"/>
    <w:rsid w:val="00B25977"/>
    <w:rsid w:val="00B25D5C"/>
    <w:rsid w:val="00B264D8"/>
    <w:rsid w:val="00B26559"/>
    <w:rsid w:val="00B279BA"/>
    <w:rsid w:val="00B304F8"/>
    <w:rsid w:val="00B310D0"/>
    <w:rsid w:val="00B3168F"/>
    <w:rsid w:val="00B31897"/>
    <w:rsid w:val="00B3264E"/>
    <w:rsid w:val="00B3351A"/>
    <w:rsid w:val="00B33667"/>
    <w:rsid w:val="00B33BBB"/>
    <w:rsid w:val="00B33D04"/>
    <w:rsid w:val="00B33D7B"/>
    <w:rsid w:val="00B33DBE"/>
    <w:rsid w:val="00B3428B"/>
    <w:rsid w:val="00B34D68"/>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3516"/>
    <w:rsid w:val="00B43EC2"/>
    <w:rsid w:val="00B444DF"/>
    <w:rsid w:val="00B45243"/>
    <w:rsid w:val="00B4580D"/>
    <w:rsid w:val="00B458DE"/>
    <w:rsid w:val="00B466DE"/>
    <w:rsid w:val="00B46708"/>
    <w:rsid w:val="00B46D69"/>
    <w:rsid w:val="00B470EF"/>
    <w:rsid w:val="00B47509"/>
    <w:rsid w:val="00B50FE9"/>
    <w:rsid w:val="00B512DB"/>
    <w:rsid w:val="00B51FC3"/>
    <w:rsid w:val="00B52DD7"/>
    <w:rsid w:val="00B52FFE"/>
    <w:rsid w:val="00B5300A"/>
    <w:rsid w:val="00B5304C"/>
    <w:rsid w:val="00B55195"/>
    <w:rsid w:val="00B55383"/>
    <w:rsid w:val="00B553BD"/>
    <w:rsid w:val="00B5548F"/>
    <w:rsid w:val="00B567F2"/>
    <w:rsid w:val="00B56FED"/>
    <w:rsid w:val="00B5788D"/>
    <w:rsid w:val="00B60013"/>
    <w:rsid w:val="00B6005B"/>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EC"/>
    <w:rsid w:val="00B7448D"/>
    <w:rsid w:val="00B74E7B"/>
    <w:rsid w:val="00B7516D"/>
    <w:rsid w:val="00B7527A"/>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56A4"/>
    <w:rsid w:val="00B85E80"/>
    <w:rsid w:val="00B86FC3"/>
    <w:rsid w:val="00B90D93"/>
    <w:rsid w:val="00B9129A"/>
    <w:rsid w:val="00B91DDC"/>
    <w:rsid w:val="00B9234B"/>
    <w:rsid w:val="00B925D4"/>
    <w:rsid w:val="00B92738"/>
    <w:rsid w:val="00B928E2"/>
    <w:rsid w:val="00B931F3"/>
    <w:rsid w:val="00B93D50"/>
    <w:rsid w:val="00B94204"/>
    <w:rsid w:val="00B9429D"/>
    <w:rsid w:val="00B94FF6"/>
    <w:rsid w:val="00B9553C"/>
    <w:rsid w:val="00B95675"/>
    <w:rsid w:val="00B958D8"/>
    <w:rsid w:val="00B95D32"/>
    <w:rsid w:val="00B95E0B"/>
    <w:rsid w:val="00B95F64"/>
    <w:rsid w:val="00B972C3"/>
    <w:rsid w:val="00B973B5"/>
    <w:rsid w:val="00B97422"/>
    <w:rsid w:val="00BA105E"/>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C1F"/>
    <w:rsid w:val="00BC55CA"/>
    <w:rsid w:val="00BC5781"/>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7D"/>
    <w:rsid w:val="00BD4F7F"/>
    <w:rsid w:val="00BD55BF"/>
    <w:rsid w:val="00BD56DB"/>
    <w:rsid w:val="00BD5790"/>
    <w:rsid w:val="00BD59BE"/>
    <w:rsid w:val="00BD5ECA"/>
    <w:rsid w:val="00BD5F4D"/>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38EA"/>
    <w:rsid w:val="00BE3A89"/>
    <w:rsid w:val="00BE56DC"/>
    <w:rsid w:val="00BE5933"/>
    <w:rsid w:val="00BE5A4E"/>
    <w:rsid w:val="00BE6A52"/>
    <w:rsid w:val="00BE6F51"/>
    <w:rsid w:val="00BE70CC"/>
    <w:rsid w:val="00BE73AA"/>
    <w:rsid w:val="00BE74F9"/>
    <w:rsid w:val="00BE7C1D"/>
    <w:rsid w:val="00BE7C84"/>
    <w:rsid w:val="00BE7F5C"/>
    <w:rsid w:val="00BF18C7"/>
    <w:rsid w:val="00BF1A3E"/>
    <w:rsid w:val="00BF21EA"/>
    <w:rsid w:val="00BF2B69"/>
    <w:rsid w:val="00BF3052"/>
    <w:rsid w:val="00BF3CEF"/>
    <w:rsid w:val="00BF3DD1"/>
    <w:rsid w:val="00BF478D"/>
    <w:rsid w:val="00BF4A2C"/>
    <w:rsid w:val="00BF681C"/>
    <w:rsid w:val="00BF6958"/>
    <w:rsid w:val="00BF6B8A"/>
    <w:rsid w:val="00BF71B6"/>
    <w:rsid w:val="00BF7FE9"/>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74A"/>
    <w:rsid w:val="00C10BB2"/>
    <w:rsid w:val="00C1179C"/>
    <w:rsid w:val="00C119CA"/>
    <w:rsid w:val="00C11DEB"/>
    <w:rsid w:val="00C12768"/>
    <w:rsid w:val="00C127B9"/>
    <w:rsid w:val="00C127DA"/>
    <w:rsid w:val="00C12ED3"/>
    <w:rsid w:val="00C137A0"/>
    <w:rsid w:val="00C13B9C"/>
    <w:rsid w:val="00C15E92"/>
    <w:rsid w:val="00C17516"/>
    <w:rsid w:val="00C17643"/>
    <w:rsid w:val="00C17F44"/>
    <w:rsid w:val="00C201AD"/>
    <w:rsid w:val="00C204A9"/>
    <w:rsid w:val="00C2080B"/>
    <w:rsid w:val="00C20901"/>
    <w:rsid w:val="00C20E48"/>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E0"/>
    <w:rsid w:val="00C330FB"/>
    <w:rsid w:val="00C3318C"/>
    <w:rsid w:val="00C332CF"/>
    <w:rsid w:val="00C33EA2"/>
    <w:rsid w:val="00C33FED"/>
    <w:rsid w:val="00C3471C"/>
    <w:rsid w:val="00C34C17"/>
    <w:rsid w:val="00C35112"/>
    <w:rsid w:val="00C355E3"/>
    <w:rsid w:val="00C358D9"/>
    <w:rsid w:val="00C35942"/>
    <w:rsid w:val="00C35AC5"/>
    <w:rsid w:val="00C36E28"/>
    <w:rsid w:val="00C379A7"/>
    <w:rsid w:val="00C40262"/>
    <w:rsid w:val="00C416A5"/>
    <w:rsid w:val="00C418EF"/>
    <w:rsid w:val="00C41D95"/>
    <w:rsid w:val="00C42372"/>
    <w:rsid w:val="00C4283F"/>
    <w:rsid w:val="00C4337F"/>
    <w:rsid w:val="00C433B9"/>
    <w:rsid w:val="00C437F1"/>
    <w:rsid w:val="00C43D1B"/>
    <w:rsid w:val="00C44854"/>
    <w:rsid w:val="00C455EF"/>
    <w:rsid w:val="00C45A95"/>
    <w:rsid w:val="00C4646F"/>
    <w:rsid w:val="00C466D0"/>
    <w:rsid w:val="00C4683F"/>
    <w:rsid w:val="00C46D24"/>
    <w:rsid w:val="00C5050E"/>
    <w:rsid w:val="00C505BF"/>
    <w:rsid w:val="00C50CC7"/>
    <w:rsid w:val="00C50EB1"/>
    <w:rsid w:val="00C51773"/>
    <w:rsid w:val="00C5184D"/>
    <w:rsid w:val="00C520C5"/>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FD6"/>
    <w:rsid w:val="00C57060"/>
    <w:rsid w:val="00C57573"/>
    <w:rsid w:val="00C5768B"/>
    <w:rsid w:val="00C57802"/>
    <w:rsid w:val="00C603B0"/>
    <w:rsid w:val="00C60565"/>
    <w:rsid w:val="00C60843"/>
    <w:rsid w:val="00C6096D"/>
    <w:rsid w:val="00C6115B"/>
    <w:rsid w:val="00C61411"/>
    <w:rsid w:val="00C61467"/>
    <w:rsid w:val="00C6186D"/>
    <w:rsid w:val="00C62217"/>
    <w:rsid w:val="00C62AEC"/>
    <w:rsid w:val="00C62FB4"/>
    <w:rsid w:val="00C63242"/>
    <w:rsid w:val="00C634B9"/>
    <w:rsid w:val="00C638F4"/>
    <w:rsid w:val="00C63AE3"/>
    <w:rsid w:val="00C64439"/>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5874"/>
    <w:rsid w:val="00C76437"/>
    <w:rsid w:val="00C76724"/>
    <w:rsid w:val="00C76AEA"/>
    <w:rsid w:val="00C7724A"/>
    <w:rsid w:val="00C7749E"/>
    <w:rsid w:val="00C779E5"/>
    <w:rsid w:val="00C77C76"/>
    <w:rsid w:val="00C80047"/>
    <w:rsid w:val="00C80158"/>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DC2"/>
    <w:rsid w:val="00C870AE"/>
    <w:rsid w:val="00C87160"/>
    <w:rsid w:val="00C8740E"/>
    <w:rsid w:val="00C874DF"/>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66C"/>
    <w:rsid w:val="00CA599D"/>
    <w:rsid w:val="00CA5F1E"/>
    <w:rsid w:val="00CA60BE"/>
    <w:rsid w:val="00CA62B0"/>
    <w:rsid w:val="00CA641D"/>
    <w:rsid w:val="00CA73EE"/>
    <w:rsid w:val="00CA7927"/>
    <w:rsid w:val="00CA7A66"/>
    <w:rsid w:val="00CA7AD0"/>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907"/>
    <w:rsid w:val="00CB7D59"/>
    <w:rsid w:val="00CC076D"/>
    <w:rsid w:val="00CC0AC6"/>
    <w:rsid w:val="00CC0DE9"/>
    <w:rsid w:val="00CC1AA6"/>
    <w:rsid w:val="00CC1B2D"/>
    <w:rsid w:val="00CC1F35"/>
    <w:rsid w:val="00CC249A"/>
    <w:rsid w:val="00CC268C"/>
    <w:rsid w:val="00CC3588"/>
    <w:rsid w:val="00CC3589"/>
    <w:rsid w:val="00CC4182"/>
    <w:rsid w:val="00CC435E"/>
    <w:rsid w:val="00CC44FB"/>
    <w:rsid w:val="00CC4EBE"/>
    <w:rsid w:val="00CC5261"/>
    <w:rsid w:val="00CC646C"/>
    <w:rsid w:val="00CC693F"/>
    <w:rsid w:val="00CC6E0B"/>
    <w:rsid w:val="00CC6EF5"/>
    <w:rsid w:val="00CC71EC"/>
    <w:rsid w:val="00CC7654"/>
    <w:rsid w:val="00CC7AEE"/>
    <w:rsid w:val="00CC7C4D"/>
    <w:rsid w:val="00CD036C"/>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5F3A"/>
    <w:rsid w:val="00CE6996"/>
    <w:rsid w:val="00CE6D23"/>
    <w:rsid w:val="00CE72B9"/>
    <w:rsid w:val="00CE752E"/>
    <w:rsid w:val="00CE783C"/>
    <w:rsid w:val="00CF0CC0"/>
    <w:rsid w:val="00CF1715"/>
    <w:rsid w:val="00CF18E6"/>
    <w:rsid w:val="00CF1FD9"/>
    <w:rsid w:val="00CF2558"/>
    <w:rsid w:val="00CF28A3"/>
    <w:rsid w:val="00CF387C"/>
    <w:rsid w:val="00CF3AAF"/>
    <w:rsid w:val="00CF4EE4"/>
    <w:rsid w:val="00CF587C"/>
    <w:rsid w:val="00CF5A19"/>
    <w:rsid w:val="00CF5D2A"/>
    <w:rsid w:val="00CF621D"/>
    <w:rsid w:val="00CF681C"/>
    <w:rsid w:val="00CF692C"/>
    <w:rsid w:val="00CF740D"/>
    <w:rsid w:val="00CF7DD7"/>
    <w:rsid w:val="00D00630"/>
    <w:rsid w:val="00D00D75"/>
    <w:rsid w:val="00D01453"/>
    <w:rsid w:val="00D017E5"/>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3039"/>
    <w:rsid w:val="00D4328B"/>
    <w:rsid w:val="00D445EC"/>
    <w:rsid w:val="00D44657"/>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7E2"/>
    <w:rsid w:val="00D60D59"/>
    <w:rsid w:val="00D60E77"/>
    <w:rsid w:val="00D610C6"/>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65E5"/>
    <w:rsid w:val="00D666A6"/>
    <w:rsid w:val="00D67523"/>
    <w:rsid w:val="00D677A6"/>
    <w:rsid w:val="00D677FE"/>
    <w:rsid w:val="00D6782A"/>
    <w:rsid w:val="00D701A1"/>
    <w:rsid w:val="00D70917"/>
    <w:rsid w:val="00D70DA8"/>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F5D"/>
    <w:rsid w:val="00D85402"/>
    <w:rsid w:val="00D866D2"/>
    <w:rsid w:val="00D8701C"/>
    <w:rsid w:val="00D879BD"/>
    <w:rsid w:val="00D91A1D"/>
    <w:rsid w:val="00D91B23"/>
    <w:rsid w:val="00D91F03"/>
    <w:rsid w:val="00D92783"/>
    <w:rsid w:val="00D92C02"/>
    <w:rsid w:val="00D92C3E"/>
    <w:rsid w:val="00D9370A"/>
    <w:rsid w:val="00D93985"/>
    <w:rsid w:val="00D943F1"/>
    <w:rsid w:val="00D945E3"/>
    <w:rsid w:val="00D9496A"/>
    <w:rsid w:val="00D94BAE"/>
    <w:rsid w:val="00D957D9"/>
    <w:rsid w:val="00D95A78"/>
    <w:rsid w:val="00D96E59"/>
    <w:rsid w:val="00D97C82"/>
    <w:rsid w:val="00DA04E3"/>
    <w:rsid w:val="00DA13CD"/>
    <w:rsid w:val="00DA1B78"/>
    <w:rsid w:val="00DA1C91"/>
    <w:rsid w:val="00DA1E8E"/>
    <w:rsid w:val="00DA29C8"/>
    <w:rsid w:val="00DA2ACA"/>
    <w:rsid w:val="00DA3646"/>
    <w:rsid w:val="00DA38F0"/>
    <w:rsid w:val="00DA3EA6"/>
    <w:rsid w:val="00DA42A6"/>
    <w:rsid w:val="00DA42F2"/>
    <w:rsid w:val="00DA42F4"/>
    <w:rsid w:val="00DA44D3"/>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532"/>
    <w:rsid w:val="00DC2120"/>
    <w:rsid w:val="00DC2151"/>
    <w:rsid w:val="00DC22AC"/>
    <w:rsid w:val="00DC24D9"/>
    <w:rsid w:val="00DC2762"/>
    <w:rsid w:val="00DC3A03"/>
    <w:rsid w:val="00DC3AEC"/>
    <w:rsid w:val="00DC3B67"/>
    <w:rsid w:val="00DC3E10"/>
    <w:rsid w:val="00DC4256"/>
    <w:rsid w:val="00DC48BE"/>
    <w:rsid w:val="00DC5329"/>
    <w:rsid w:val="00DC714E"/>
    <w:rsid w:val="00DC77D8"/>
    <w:rsid w:val="00DD0CE1"/>
    <w:rsid w:val="00DD11F4"/>
    <w:rsid w:val="00DD16EF"/>
    <w:rsid w:val="00DD1CD6"/>
    <w:rsid w:val="00DD1EAE"/>
    <w:rsid w:val="00DD2202"/>
    <w:rsid w:val="00DD258E"/>
    <w:rsid w:val="00DD29BD"/>
    <w:rsid w:val="00DD2C06"/>
    <w:rsid w:val="00DD2E9F"/>
    <w:rsid w:val="00DD3168"/>
    <w:rsid w:val="00DD3255"/>
    <w:rsid w:val="00DD393B"/>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53A"/>
    <w:rsid w:val="00DE4B21"/>
    <w:rsid w:val="00DE4CFF"/>
    <w:rsid w:val="00DE581C"/>
    <w:rsid w:val="00DE5D41"/>
    <w:rsid w:val="00DE6FAD"/>
    <w:rsid w:val="00DE730F"/>
    <w:rsid w:val="00DE745F"/>
    <w:rsid w:val="00DE79AB"/>
    <w:rsid w:val="00DF0001"/>
    <w:rsid w:val="00DF0772"/>
    <w:rsid w:val="00DF089D"/>
    <w:rsid w:val="00DF0C82"/>
    <w:rsid w:val="00DF0D85"/>
    <w:rsid w:val="00DF16E1"/>
    <w:rsid w:val="00DF18E8"/>
    <w:rsid w:val="00DF1E58"/>
    <w:rsid w:val="00DF37BA"/>
    <w:rsid w:val="00DF38FA"/>
    <w:rsid w:val="00DF3E1F"/>
    <w:rsid w:val="00DF4445"/>
    <w:rsid w:val="00DF456D"/>
    <w:rsid w:val="00DF4AC3"/>
    <w:rsid w:val="00DF5028"/>
    <w:rsid w:val="00DF513E"/>
    <w:rsid w:val="00DF53DD"/>
    <w:rsid w:val="00DF53EB"/>
    <w:rsid w:val="00DF5DBC"/>
    <w:rsid w:val="00DF5E57"/>
    <w:rsid w:val="00DF64ED"/>
    <w:rsid w:val="00DF66BA"/>
    <w:rsid w:val="00DF66D9"/>
    <w:rsid w:val="00DF6C63"/>
    <w:rsid w:val="00DF718E"/>
    <w:rsid w:val="00DF7360"/>
    <w:rsid w:val="00DF7684"/>
    <w:rsid w:val="00DF7F08"/>
    <w:rsid w:val="00E00C8C"/>
    <w:rsid w:val="00E0121C"/>
    <w:rsid w:val="00E01333"/>
    <w:rsid w:val="00E0195D"/>
    <w:rsid w:val="00E023ED"/>
    <w:rsid w:val="00E0254D"/>
    <w:rsid w:val="00E02747"/>
    <w:rsid w:val="00E02B3D"/>
    <w:rsid w:val="00E02C24"/>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2243"/>
    <w:rsid w:val="00E1240C"/>
    <w:rsid w:val="00E1246D"/>
    <w:rsid w:val="00E125E0"/>
    <w:rsid w:val="00E128A8"/>
    <w:rsid w:val="00E147B3"/>
    <w:rsid w:val="00E148EA"/>
    <w:rsid w:val="00E15910"/>
    <w:rsid w:val="00E1604A"/>
    <w:rsid w:val="00E165AB"/>
    <w:rsid w:val="00E16C24"/>
    <w:rsid w:val="00E1726B"/>
    <w:rsid w:val="00E172E8"/>
    <w:rsid w:val="00E17333"/>
    <w:rsid w:val="00E176A4"/>
    <w:rsid w:val="00E17A5D"/>
    <w:rsid w:val="00E17D32"/>
    <w:rsid w:val="00E17EAD"/>
    <w:rsid w:val="00E17FFD"/>
    <w:rsid w:val="00E2213D"/>
    <w:rsid w:val="00E2263E"/>
    <w:rsid w:val="00E22AC6"/>
    <w:rsid w:val="00E23428"/>
    <w:rsid w:val="00E23C3E"/>
    <w:rsid w:val="00E24916"/>
    <w:rsid w:val="00E2502E"/>
    <w:rsid w:val="00E25847"/>
    <w:rsid w:val="00E25A5D"/>
    <w:rsid w:val="00E25FD8"/>
    <w:rsid w:val="00E26960"/>
    <w:rsid w:val="00E26B3B"/>
    <w:rsid w:val="00E26D5A"/>
    <w:rsid w:val="00E27201"/>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3D1"/>
    <w:rsid w:val="00E35F96"/>
    <w:rsid w:val="00E36478"/>
    <w:rsid w:val="00E3660B"/>
    <w:rsid w:val="00E3709C"/>
    <w:rsid w:val="00E402A1"/>
    <w:rsid w:val="00E407D2"/>
    <w:rsid w:val="00E40843"/>
    <w:rsid w:val="00E409A0"/>
    <w:rsid w:val="00E40AA3"/>
    <w:rsid w:val="00E40F03"/>
    <w:rsid w:val="00E41349"/>
    <w:rsid w:val="00E41973"/>
    <w:rsid w:val="00E4202F"/>
    <w:rsid w:val="00E4298D"/>
    <w:rsid w:val="00E42C21"/>
    <w:rsid w:val="00E430DE"/>
    <w:rsid w:val="00E431B1"/>
    <w:rsid w:val="00E437D2"/>
    <w:rsid w:val="00E43CCD"/>
    <w:rsid w:val="00E44258"/>
    <w:rsid w:val="00E443A8"/>
    <w:rsid w:val="00E44587"/>
    <w:rsid w:val="00E44632"/>
    <w:rsid w:val="00E44BC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2DA6"/>
    <w:rsid w:val="00E63065"/>
    <w:rsid w:val="00E63B3F"/>
    <w:rsid w:val="00E63C25"/>
    <w:rsid w:val="00E63F75"/>
    <w:rsid w:val="00E64F5A"/>
    <w:rsid w:val="00E653E6"/>
    <w:rsid w:val="00E66DA8"/>
    <w:rsid w:val="00E66DB7"/>
    <w:rsid w:val="00E66F50"/>
    <w:rsid w:val="00E674B6"/>
    <w:rsid w:val="00E67AAF"/>
    <w:rsid w:val="00E67C87"/>
    <w:rsid w:val="00E7029D"/>
    <w:rsid w:val="00E7135A"/>
    <w:rsid w:val="00E72157"/>
    <w:rsid w:val="00E73464"/>
    <w:rsid w:val="00E74147"/>
    <w:rsid w:val="00E74DAD"/>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6FD3"/>
    <w:rsid w:val="00E875CE"/>
    <w:rsid w:val="00E876F8"/>
    <w:rsid w:val="00E87B44"/>
    <w:rsid w:val="00E87D7D"/>
    <w:rsid w:val="00E90341"/>
    <w:rsid w:val="00E9034B"/>
    <w:rsid w:val="00E909A1"/>
    <w:rsid w:val="00E90E4D"/>
    <w:rsid w:val="00E91866"/>
    <w:rsid w:val="00E92EEC"/>
    <w:rsid w:val="00E9301B"/>
    <w:rsid w:val="00E93567"/>
    <w:rsid w:val="00E94169"/>
    <w:rsid w:val="00E94406"/>
    <w:rsid w:val="00E944A3"/>
    <w:rsid w:val="00E94628"/>
    <w:rsid w:val="00E94DB7"/>
    <w:rsid w:val="00E95127"/>
    <w:rsid w:val="00E95287"/>
    <w:rsid w:val="00E958AA"/>
    <w:rsid w:val="00E96074"/>
    <w:rsid w:val="00E969EC"/>
    <w:rsid w:val="00E96ED7"/>
    <w:rsid w:val="00E97099"/>
    <w:rsid w:val="00E9744E"/>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5D95"/>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B19"/>
    <w:rsid w:val="00EB728F"/>
    <w:rsid w:val="00EB73DA"/>
    <w:rsid w:val="00EB78E8"/>
    <w:rsid w:val="00EC068E"/>
    <w:rsid w:val="00EC07E1"/>
    <w:rsid w:val="00EC09F8"/>
    <w:rsid w:val="00EC1A2D"/>
    <w:rsid w:val="00EC21BB"/>
    <w:rsid w:val="00EC237C"/>
    <w:rsid w:val="00EC28D1"/>
    <w:rsid w:val="00EC29CC"/>
    <w:rsid w:val="00EC2FF8"/>
    <w:rsid w:val="00EC363B"/>
    <w:rsid w:val="00EC3F40"/>
    <w:rsid w:val="00EC3FEB"/>
    <w:rsid w:val="00EC444E"/>
    <w:rsid w:val="00EC4766"/>
    <w:rsid w:val="00EC56EB"/>
    <w:rsid w:val="00EC74A8"/>
    <w:rsid w:val="00EC7539"/>
    <w:rsid w:val="00EC7862"/>
    <w:rsid w:val="00ED0534"/>
    <w:rsid w:val="00ED13C4"/>
    <w:rsid w:val="00ED1544"/>
    <w:rsid w:val="00ED16DB"/>
    <w:rsid w:val="00ED1AC8"/>
    <w:rsid w:val="00ED1CFE"/>
    <w:rsid w:val="00ED1F4A"/>
    <w:rsid w:val="00ED26B8"/>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3FD8"/>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40D6"/>
    <w:rsid w:val="00EF4527"/>
    <w:rsid w:val="00EF45A5"/>
    <w:rsid w:val="00EF4731"/>
    <w:rsid w:val="00EF4D18"/>
    <w:rsid w:val="00EF52A7"/>
    <w:rsid w:val="00EF5644"/>
    <w:rsid w:val="00EF63E9"/>
    <w:rsid w:val="00EF64A3"/>
    <w:rsid w:val="00EF706A"/>
    <w:rsid w:val="00EF7378"/>
    <w:rsid w:val="00EF7A64"/>
    <w:rsid w:val="00EF7EC2"/>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729"/>
    <w:rsid w:val="00F23861"/>
    <w:rsid w:val="00F23B8E"/>
    <w:rsid w:val="00F23C2E"/>
    <w:rsid w:val="00F23E7F"/>
    <w:rsid w:val="00F25390"/>
    <w:rsid w:val="00F2611C"/>
    <w:rsid w:val="00F26B4E"/>
    <w:rsid w:val="00F2706B"/>
    <w:rsid w:val="00F274FD"/>
    <w:rsid w:val="00F30582"/>
    <w:rsid w:val="00F30968"/>
    <w:rsid w:val="00F311D3"/>
    <w:rsid w:val="00F3142C"/>
    <w:rsid w:val="00F318AE"/>
    <w:rsid w:val="00F32852"/>
    <w:rsid w:val="00F32D9E"/>
    <w:rsid w:val="00F33320"/>
    <w:rsid w:val="00F34156"/>
    <w:rsid w:val="00F3434A"/>
    <w:rsid w:val="00F3435E"/>
    <w:rsid w:val="00F34911"/>
    <w:rsid w:val="00F34A99"/>
    <w:rsid w:val="00F34B44"/>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FAC"/>
    <w:rsid w:val="00F42F73"/>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7C8"/>
    <w:rsid w:val="00F47EA2"/>
    <w:rsid w:val="00F5020A"/>
    <w:rsid w:val="00F50AA0"/>
    <w:rsid w:val="00F51276"/>
    <w:rsid w:val="00F51CD4"/>
    <w:rsid w:val="00F51E73"/>
    <w:rsid w:val="00F51F24"/>
    <w:rsid w:val="00F53253"/>
    <w:rsid w:val="00F534BD"/>
    <w:rsid w:val="00F535A2"/>
    <w:rsid w:val="00F53B72"/>
    <w:rsid w:val="00F53BC0"/>
    <w:rsid w:val="00F55319"/>
    <w:rsid w:val="00F5606F"/>
    <w:rsid w:val="00F562ED"/>
    <w:rsid w:val="00F56E8B"/>
    <w:rsid w:val="00F578B7"/>
    <w:rsid w:val="00F60279"/>
    <w:rsid w:val="00F609BB"/>
    <w:rsid w:val="00F6148A"/>
    <w:rsid w:val="00F6190C"/>
    <w:rsid w:val="00F61EC6"/>
    <w:rsid w:val="00F62579"/>
    <w:rsid w:val="00F62960"/>
    <w:rsid w:val="00F62E72"/>
    <w:rsid w:val="00F64431"/>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2CB7"/>
    <w:rsid w:val="00F72ED2"/>
    <w:rsid w:val="00F733ED"/>
    <w:rsid w:val="00F735FD"/>
    <w:rsid w:val="00F73956"/>
    <w:rsid w:val="00F73BD3"/>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E2B"/>
    <w:rsid w:val="00F941A1"/>
    <w:rsid w:val="00F944D5"/>
    <w:rsid w:val="00F94662"/>
    <w:rsid w:val="00F95271"/>
    <w:rsid w:val="00F952A8"/>
    <w:rsid w:val="00F95382"/>
    <w:rsid w:val="00F95CA4"/>
    <w:rsid w:val="00F963C9"/>
    <w:rsid w:val="00F9653D"/>
    <w:rsid w:val="00F970BF"/>
    <w:rsid w:val="00F974FB"/>
    <w:rsid w:val="00F97837"/>
    <w:rsid w:val="00F97C08"/>
    <w:rsid w:val="00F97D87"/>
    <w:rsid w:val="00F97FB9"/>
    <w:rsid w:val="00F97FBD"/>
    <w:rsid w:val="00FA0265"/>
    <w:rsid w:val="00FA081A"/>
    <w:rsid w:val="00FA0AEF"/>
    <w:rsid w:val="00FA0DE4"/>
    <w:rsid w:val="00FA12F8"/>
    <w:rsid w:val="00FA1BAC"/>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5A4"/>
    <w:rsid w:val="00FB062D"/>
    <w:rsid w:val="00FB066E"/>
    <w:rsid w:val="00FB0E0B"/>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2F3"/>
    <w:rsid w:val="00FD760B"/>
    <w:rsid w:val="00FE11A1"/>
    <w:rsid w:val="00FE21E4"/>
    <w:rsid w:val="00FE22EE"/>
    <w:rsid w:val="00FE22FF"/>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tabs>
        <w:tab w:val="num" w:pos="1499"/>
      </w:tabs>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tabs>
        <w:tab w:val="num" w:pos="1499"/>
      </w:tabs>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portal.etsi.org/webapp/MeetingCalendar/MeetingDetails.asp?m_id=18779"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4B46C-1F77-4D61-856E-4D2FA051F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3</Pages>
  <Words>1308</Words>
  <Characters>7458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8749</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2019-08-16T08:37:00Z</dcterms:created>
  <dcterms:modified xsi:type="dcterms:W3CDTF">2019-08-16T13:07:00Z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